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9.png" ContentType="image/png"/>
  <Override PartName="/word/media/rId75.png" ContentType="image/png"/>
  <Override PartName="/word/media/rId37.png" ContentType="image/png"/>
  <Override PartName="/word/media/rId45.png" ContentType="image/png"/>
  <Override PartName="/word/media/rId33.png" ContentType="image/png"/>
  <Override PartName="/word/media/rId56.png" ContentType="image/png"/>
  <Override PartName="/word/media/rId60.png" ContentType="image/png"/>
  <Override PartName="/word/media/rId64.png" ContentType="image/png"/>
  <Override PartName="/word/media/rId51.png" ContentType="image/png"/>
  <Override PartName="/word/media/rId90.png" ContentType="image/png"/>
  <Override PartName="/word/media/rId85.png" ContentType="image/png"/>
  <Override PartName="/word/media/rId41.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r>
        <w:t xml:space="preserve">.</w:t>
      </w:r>
    </w:p>
    <w:p>
      <w:pPr>
        <w:pStyle w:val="Author"/>
      </w:pPr>
      <w:r>
        <w:t xml:space="preserve">Brian</w:t>
      </w:r>
      <w:r>
        <w:t xml:space="preserve"> </w:t>
      </w:r>
      <w:r>
        <w:t xml:space="preserve">S.</w:t>
      </w:r>
      <w:r>
        <w:t xml:space="preserve"> </w:t>
      </w:r>
      <w:r>
        <w:t xml:space="preserve">Blais</w:t>
      </w:r>
    </w:p>
    <w:p>
      <w:pPr>
        <w:pStyle w:val="Date"/>
      </w:pPr>
      <w:r>
        <w:t xml:space="preserve">10/20/22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7" w:name="preface"/>
    <w:p>
      <w:pPr>
        <w:pStyle w:val="Heading1"/>
      </w:pPr>
      <w:r>
        <w:t xml:space="preserve">Preface</w:t>
      </w:r>
    </w:p>
    <w:p>
      <w:pPr>
        <w:pStyle w:val="FirstParagraph"/>
      </w:pPr>
      <w:r>
        <w:t xml:space="preserve">These notes are produced with Quarto. (</w:t>
      </w:r>
      <w:hyperlink r:id="rId20">
        <w:r>
          <w:rPr>
            <w:rStyle w:val="Hyperlink"/>
          </w:rPr>
          <w:t xml:space="preserve">https://quarto.org/docs/books</w:t>
        </w:r>
      </w:hyperlink>
      <w:r>
        <w:t xml:space="preserve">)</w:t>
      </w:r>
    </w:p>
    <w:bookmarkStart w:id="23" w:name="software-installation"/>
    <w:p>
      <w:pPr>
        <w:pStyle w:val="Heading2"/>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w:t>
      </w:r>
    </w:p>
    <w:p>
      <w:pPr>
        <w:pStyle w:val="FirstParagraph"/>
      </w:pPr>
      <w:hyperlink r:id="rId21">
        <w:r>
          <w:rPr>
            <w:rStyle w:val="Hyperlink"/>
          </w:rPr>
          <w:t xml:space="preserve">https://www.anaconda.com/products/individual#downloads</w:t>
        </w:r>
      </w:hyperlink>
    </w:p>
    <w:p>
      <w:pPr>
        <w:numPr>
          <w:ilvl w:val="0"/>
          <w:numId w:val="1002"/>
        </w:numPr>
        <w:pStyle w:val="Compact"/>
      </w:pPr>
      <w:r>
        <w:t xml:space="preserve">Download and extract the</w:t>
      </w:r>
      <w:r>
        <w:t xml:space="preserve"> </w:t>
      </w:r>
      <w:r>
        <w:rPr>
          <w:iCs/>
          <w:i/>
        </w:rPr>
        <w:t xml:space="preserve">PlasticNet</w:t>
      </w:r>
      <w:r>
        <w:t xml:space="preserve"> </w:t>
      </w:r>
      <w:r>
        <w:t xml:space="preserve">package at:</w:t>
      </w:r>
    </w:p>
    <w:p>
      <w:pPr>
        <w:pStyle w:val="FirstParagraph"/>
      </w:pPr>
      <w:hyperlink r:id="rId22">
        <w:r>
          <w:rPr>
            <w:rStyle w:val="Hyperlink"/>
          </w:rPr>
          <w:t xml:space="preserve">https://github.com/bblais/Plasticnet/archive/refs/heads/master.zip</w:t>
        </w:r>
      </w:hyperlink>
    </w:p>
    <w:p>
      <w:pPr>
        <w:numPr>
          <w:ilvl w:val="0"/>
          <w:numId w:val="1003"/>
        </w:numPr>
        <w:pStyle w:val="Compact"/>
      </w:pPr>
      <w:r>
        <w:t xml:space="preserve">Run the script</w:t>
      </w:r>
      <w:r>
        <w:t xml:space="preserve"> </w:t>
      </w:r>
      <w:r>
        <w:rPr>
          <w:rStyle w:val="VerbatimChar"/>
        </w:rPr>
        <w:t xml:space="preserve">install.py</w:t>
      </w:r>
    </w:p>
    <w:bookmarkEnd w:id="23"/>
    <w:bookmarkStart w:id="26" w:name="printable-versions"/>
    <w:p>
      <w:pPr>
        <w:pStyle w:val="Heading2"/>
      </w:pPr>
      <w:r>
        <w:t xml:space="preserve">Printable Versions</w:t>
      </w:r>
    </w:p>
    <w:p>
      <w:pPr>
        <w:pStyle w:val="FirstParagraph"/>
      </w:pPr>
      <w:r>
        <w:t xml:space="preserve">Printable versions of this report can be found on the GitHub site for this project,</w:t>
      </w:r>
    </w:p>
    <w:p>
      <w:pPr>
        <w:numPr>
          <w:ilvl w:val="0"/>
          <w:numId w:val="1004"/>
        </w:numPr>
        <w:pStyle w:val="Compact"/>
      </w:pPr>
      <w:hyperlink r:id="rId24">
        <w:r>
          <w:rPr>
            <w:rStyle w:val="Hyperlink"/>
          </w:rPr>
          <w:t xml:space="preserve">Microsoft Word version</w:t>
        </w:r>
      </w:hyperlink>
    </w:p>
    <w:p>
      <w:pPr>
        <w:numPr>
          <w:ilvl w:val="0"/>
          <w:numId w:val="1004"/>
        </w:numPr>
        <w:pStyle w:val="Compact"/>
      </w:pPr>
      <w:hyperlink r:id="rId25">
        <w:r>
          <w:rPr>
            <w:rStyle w:val="Hyperlink"/>
          </w:rPr>
          <w:t xml:space="preserve">PDF version</w:t>
        </w:r>
      </w:hyperlink>
    </w:p>
    <w:bookmarkEnd w:id="26"/>
    <w:bookmarkEnd w:id="27"/>
    <w:bookmarkStart w:id="32" w:name="what-is-amblyopia"/>
    <w:p>
      <w:pPr>
        <w:pStyle w:val="Heading1"/>
      </w:pPr>
      <w:r>
        <w:t xml:space="preserve">1. What is Amblyopia?</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w:t>
      </w:r>
    </w:p>
    <w:p>
      <w:pPr>
        <w:numPr>
          <w:ilvl w:val="0"/>
          <w:numId w:val="1005"/>
        </w:numPr>
        <w:pStyle w:val="Compact"/>
      </w:pPr>
      <w:r>
        <w:t xml:space="preserve">Visual acuity</w:t>
      </w:r>
    </w:p>
    <w:p>
      <w:pPr>
        <w:numPr>
          <w:ilvl w:val="0"/>
          <w:numId w:val="1005"/>
        </w:numPr>
        <w:pStyle w:val="Compact"/>
      </w:pPr>
      <w:r>
        <w:t xml:space="preserve">Contrast sensitivity</w:t>
      </w:r>
    </w:p>
    <w:p>
      <w:pPr>
        <w:numPr>
          <w:ilvl w:val="0"/>
          <w:numId w:val="1005"/>
        </w:numPr>
        <w:pStyle w:val="Compact"/>
      </w:pPr>
      <w:r>
        <w:t xml:space="preserve">Color</w:t>
      </w:r>
    </w:p>
    <w:p>
      <w:pPr>
        <w:numPr>
          <w:ilvl w:val="0"/>
          <w:numId w:val="1005"/>
        </w:numPr>
        <w:pStyle w:val="Compact"/>
      </w:pPr>
      <w:r>
        <w:t xml:space="preserve">Depth (Stereopsis)</w:t>
      </w:r>
    </w:p>
    <w:p>
      <w:pPr>
        <w:numPr>
          <w:ilvl w:val="0"/>
          <w:numId w:val="1005"/>
        </w:numPr>
        <w:pStyle w:val="Compact"/>
      </w:pPr>
      <w:r>
        <w:t xml:space="preserve">Motion</w:t>
      </w:r>
    </w:p>
    <w:p>
      <w:pPr>
        <w:numPr>
          <w:ilvl w:val="0"/>
          <w:numId w:val="1005"/>
        </w:numPr>
        <w:pStyle w:val="Compact"/>
      </w:pPr>
      <w:r>
        <w:t xml:space="preserve">Visual fields</w:t>
      </w:r>
    </w:p>
    <w:bookmarkStart w:id="30" w:name="how-is-it-treated"/>
    <w:p>
      <w:pPr>
        <w:pStyle w:val="Heading2"/>
      </w:pPr>
      <w:r>
        <w:t xml:space="preserve">1.1 How is it Treated?</w:t>
      </w:r>
    </w:p>
    <w:p>
      <w:pPr>
        <w:pStyle w:val="FirstParagraph"/>
      </w:pPr>
      <w:r>
        <w:t xml:space="preserve">The current primary treatment is described in the</w:t>
      </w:r>
      <w:r>
        <w:t xml:space="preserve"> </w:t>
      </w:r>
      <w:r>
        <w:rPr>
          <w:iCs/>
          <w:i/>
        </w:rPr>
        <w:t xml:space="preserve">Amblyopia Preferred Practice Method</w:t>
      </w:r>
      <w:r>
        <w:t xml:space="preserve"> </w:t>
      </w:r>
      <w:r>
        <w:t xml:space="preserve">(D. K. Wallace et al. 2018)</w:t>
      </w:r>
      <w:r>
        <w:t xml:space="preserve">.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bookmarkStart w:id="28" w:name="monocular-treatments"/>
    <w:p>
      <w:pPr>
        <w:pStyle w:val="Heading3"/>
      </w:pPr>
      <w:r>
        <w:t xml:space="preserve">1.1.1 Monocular Treatments</w:t>
      </w:r>
    </w:p>
    <w:p>
      <w:pPr>
        <w:pStyle w:val="FirstParagraph"/>
      </w:pPr>
      <w:r>
        <w:t xml:space="preserve">The most common treatment includes</w:t>
      </w:r>
    </w:p>
    <w:p>
      <w:pPr>
        <w:numPr>
          <w:ilvl w:val="0"/>
          <w:numId w:val="1006"/>
        </w:numPr>
        <w:pStyle w:val="Compact"/>
      </w:pPr>
      <w:r>
        <w:t xml:space="preserve">the optical correction of significant refractive errors</w:t>
      </w:r>
    </w:p>
    <w:p>
      <w:pPr>
        <w:numPr>
          <w:ilvl w:val="0"/>
          <w:numId w:val="1006"/>
        </w:numPr>
        <w:pStyle w:val="Compact"/>
      </w:pPr>
      <w:r>
        <w:t xml:space="preserve">patching the dominant eye which forces the visual input to come from only the amblyopic eye.</w:t>
      </w:r>
    </w:p>
    <w:p>
      <w:pPr>
        <w:pStyle w:val="FirstParagraph"/>
      </w:pPr>
      <w:r>
        <w:t xml:space="preserve">Although patching is the most common method of treatment, other methods are described including pharmacology and technology</w:t>
      </w:r>
      <w:r>
        <w:t xml:space="preserve"> </w:t>
      </w:r>
      <w:r>
        <w:t xml:space="preserve">(Jonathan M. Holmes et al. 2016b; Kelly et al. 2016; Jonathan M. Holmes et al. 2016a; Li et al. 2015; Zárate and Tejedor 2007; Gao et al. 2018; Glaser et al. 2002)</w:t>
      </w:r>
      <w:r>
        <w:t xml:space="preserve">. These include,</w:t>
      </w:r>
    </w:p>
    <w:p>
      <w:pPr>
        <w:numPr>
          <w:ilvl w:val="0"/>
          <w:numId w:val="1007"/>
        </w:numPr>
        <w:pStyle w:val="Compact"/>
      </w:pPr>
      <w:r>
        <w:t xml:space="preserve">Pharmacological treatment with atropine drops in the fellow eye</w:t>
      </w:r>
    </w:p>
    <w:p>
      <w:pPr>
        <w:pStyle w:val="FirstParagraph"/>
      </w:pPr>
      <w:r>
        <w:t xml:space="preserve">Each of these treatments only directly applies to the fellow eye and the amblyopic eye is left untouched.</w:t>
      </w:r>
    </w:p>
    <w:bookmarkEnd w:id="28"/>
    <w:bookmarkStart w:id="29" w:name="binocular-treatments"/>
    <w:p>
      <w:pPr>
        <w:pStyle w:val="Heading3"/>
      </w:pPr>
      <w:r>
        <w:t xml:space="preserve">1.1.2 Binocular Treatments</w:t>
      </w:r>
    </w:p>
    <w:p>
      <w:pPr>
        <w:pStyle w:val="FirstParagraph"/>
      </w:pPr>
      <w:r>
        <w:t xml:space="preserve">There are some treatments which are administered to both eyes, making them binocular treatments. The one that we will be addressing here use virtual reality headsets</w:t>
      </w:r>
      <w:r>
        <w:t xml:space="preserve">(Xiao et al. 2020, 2022)</w:t>
      </w:r>
      <w:r>
        <w:t xml:space="preserve">,</w:t>
      </w:r>
    </w:p>
    <w:p>
      <w:pPr>
        <w:numPr>
          <w:ilvl w:val="0"/>
          <w:numId w:val="1008"/>
        </w:numPr>
        <w:pStyle w:val="Compact"/>
      </w:pPr>
      <w:r>
        <w:t xml:space="preserve">Virtual reality input to both eyes, with contrast modification and/or dichoptic masks</w:t>
      </w:r>
    </w:p>
    <w:bookmarkEnd w:id="29"/>
    <w:bookmarkEnd w:id="30"/>
    <w:bookmarkStart w:id="31" w:name="mechanisms-for-amblyopia"/>
    <w:p>
      <w:pPr>
        <w:pStyle w:val="Heading2"/>
      </w:pPr>
      <w:r>
        <w:t xml:space="preserve">1.2 Mechanisms for Amblyopia</w:t>
      </w:r>
    </w:p>
    <w:p>
      <w:pPr>
        <w:pStyle w:val="FirstParagraph"/>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w:t>
      </w:r>
    </w:p>
    <w:bookmarkEnd w:id="31"/>
    <w:bookmarkEnd w:id="32"/>
    <w:bookmarkStart w:id="50" w:name="natural-image-input-environment"/>
    <w:p>
      <w:pPr>
        <w:pStyle w:val="Heading1"/>
      </w:pPr>
      <w:r>
        <w:t xml:space="preserve">2. Natural Image Input Environment</w:t>
      </w:r>
    </w:p>
    <w:p>
      <w:pPr>
        <w:pStyle w:val="FirstParagraph"/>
      </w:pPr>
      <w:r>
        <w:t xml:space="preserve">In order to approximate the visual system, we start with the following basic properties of the retina, LGN and cortex. There are approximately 1000 photoreceptors feeding into 1 ganglion cell</w:t>
      </w:r>
      <w:r>
        <w:t xml:space="preserve"> </w:t>
      </w:r>
      <w:r>
        <w:t xml:space="preserve">(Jeon, Strettoi, and Masland 1998; Sterling, Freed, and Smith 1988)</w:t>
      </w:r>
      <w:r>
        <w:t xml:space="preserve">. The retina/LGN responses show a center-surround organization, but with a center diameter less than 1</w:t>
      </w:r>
      <m:oMath>
        <m:sSup>
          <m:e>
            <m:r>
              <m:t>​</m:t>
            </m:r>
          </m:e>
          <m:sup>
            <m:r>
              <m:t>o</m:t>
            </m:r>
          </m:sup>
        </m:sSup>
      </m:oMath>
      <w:r>
        <w:t xml:space="preserve"> </w:t>
      </w:r>
      <w:r>
        <w:t xml:space="preserve">(Hubel 1995)</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w:t>
      </w:r>
      <w:r>
        <w:t xml:space="preserve"> </w:t>
      </w:r>
      <w:hyperlink w:anchor="fig-orig">
        <w:r>
          <w:rPr>
            <w:rStyle w:val="Hyperlink"/>
          </w:rPr>
          <w:t xml:space="preserve">Figure 2.1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w:t>
      </w:r>
      <w:r>
        <w:t xml:space="preserve"> </w:t>
      </w:r>
      <w:hyperlink w:anchor="fig-logdog">
        <w:r>
          <w:rPr>
            <w:rStyle w:val="Hyperlink"/>
          </w:rPr>
          <w:t xml:space="preserve">Figure 2.2</w:t>
        </w:r>
      </w:hyperlink>
      <w:r>
        <w:t xml:space="preserve">). The center-surround radius ratio used for the ganglion cell is 1:3, with balanced excitatory and inhibitory regions and normalized Gaussian profiles.</w:t>
      </w:r>
    </w:p>
    <w:tbl>
      <w:tblPr>
        <w:tblStyle w:val="Table"/>
        <w:tblW w:type="pct" w:w="5000"/>
        <w:tblLook w:firstRow="0" w:lastRow="0" w:firstColumn="0" w:lastColumn="0" w:noHBand="0" w:noVBand="0" w:val="0000"/>
      </w:tblPr>
      <w:tblGrid>
        <w:gridCol w:w="7920"/>
      </w:tblGrid>
      <w:tr>
        <w:tc>
          <w:tcPr/>
          <w:bookmarkStart w:id="36" w:name="fig-orig"/>
          <w:p>
            <w:pPr>
              <w:pStyle w:val="Figure"/>
              <w:jc w:val="center"/>
            </w:pPr>
            <w:r>
              <w:drawing>
                <wp:inline>
                  <wp:extent cx="5334000" cy="2634654"/>
                  <wp:effectExtent b="0" l="0" r="0" t="0"/>
                  <wp:docPr descr="" title="" id="34" name="Picture"/>
                  <a:graphic>
                    <a:graphicData uri="http://schemas.openxmlformats.org/drawingml/2006/picture">
                      <pic:pic>
                        <pic:nvPicPr>
                          <pic:cNvPr descr="./Natural%20Image%20Environment_files/figure-docx/fig-orig-output-1.png" id="35" name="Picture"/>
                          <pic:cNvPicPr>
                            <a:picLocks noChangeArrowheads="1" noChangeAspect="1"/>
                          </pic:cNvPicPr>
                        </pic:nvPicPr>
                        <pic:blipFill>
                          <a:blip r:embed="rId33"/>
                          <a:stretch>
                            <a:fillRect/>
                          </a:stretch>
                        </pic:blipFill>
                        <pic:spPr bwMode="auto">
                          <a:xfrm>
                            <a:off x="0" y="0"/>
                            <a:ext cx="5334000" cy="2634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Small Subset of the Original Natural Images</w:t>
            </w:r>
          </w:p>
          <w:bookmarkEnd w:id="36"/>
        </w:tc>
      </w:tr>
    </w:tbl>
    <w:tbl>
      <w:tblPr>
        <w:tblStyle w:val="Table"/>
        <w:tblW w:type="pct" w:w="5000"/>
        <w:tblLook w:firstRow="0" w:lastRow="0" w:firstColumn="0" w:lastColumn="0" w:noHBand="0" w:noVBand="0" w:val="0000"/>
      </w:tblPr>
      <w:tblGrid>
        <w:gridCol w:w="7920"/>
      </w:tblGrid>
      <w:tr>
        <w:tc>
          <w:tcPr/>
          <w:bookmarkStart w:id="40" w:name="fig-logdog"/>
          <w:p>
            <w:pPr>
              <w:pStyle w:val="Figure"/>
              <w:jc w:val="center"/>
            </w:pPr>
            <w:r>
              <w:drawing>
                <wp:inline>
                  <wp:extent cx="5334000" cy="2617012"/>
                  <wp:effectExtent b="0" l="0" r="0" t="0"/>
                  <wp:docPr descr="" title="" id="38" name="Picture"/>
                  <a:graphic>
                    <a:graphicData uri="http://schemas.openxmlformats.org/drawingml/2006/picture">
                      <pic:pic>
                        <pic:nvPicPr>
                          <pic:cNvPr descr="./Natural%20Image%20Environment_files/figure-docx/fig-logdog-output-1.png" id="39" name="Picture"/>
                          <pic:cNvPicPr>
                            <a:picLocks noChangeArrowheads="1" noChangeAspect="1"/>
                          </pic:cNvPicPr>
                        </pic:nvPicPr>
                        <pic:blipFill>
                          <a:blip r:embed="rId37"/>
                          <a:stretch>
                            <a:fillRect/>
                          </a:stretch>
                        </pic:blipFill>
                        <pic:spPr bwMode="auto">
                          <a:xfrm>
                            <a:off x="0" y="0"/>
                            <a:ext cx="5334000" cy="26170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Small Subset of the Natural Images filtered with a base-2 Log function and a difference of Gaussians (DOG)</w:t>
            </w:r>
          </w:p>
          <w:bookmarkEnd w:id="40"/>
        </w:tc>
      </w:tr>
    </w:tbl>
    <w:bookmarkStart w:id="49" w:name="two-eye-architecture"/>
    <w:p>
      <w:pPr>
        <w:pStyle w:val="Heading2"/>
      </w:pPr>
      <w:r>
        <w:t xml:space="preserve">2.1 Two-eye architecture</w:t>
      </w:r>
    </w:p>
    <w:p>
      <w:pPr>
        <w:pStyle w:val="FirstParagraph"/>
      </w:pPr>
      <w:r>
        <w:t xml:space="preserve">Shown in Figure</w:t>
      </w:r>
      <w:r>
        <w:t xml:space="preserve"> </w:t>
      </w:r>
      <w:hyperlink w:anchor="fig-arch">
        <w:r>
          <w:rPr>
            <w:rStyle w:val="Hyperlink"/>
          </w:rPr>
          <w:t xml:space="preserve">Figure 2.3</w:t>
        </w:r>
      </w:hyperlink>
      <w:r>
        <w:t xml:space="preserve"> </w:t>
      </w:r>
      <w:r>
        <w:t xml:space="preserve">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later in</w:t>
      </w:r>
      <w:r>
        <w:t xml:space="preserve"> </w:t>
      </w:r>
      <w:hyperlink w:anchor="sec-models-of-development">
        <w:r>
          <w:rPr>
            <w:rStyle w:val="Hyperlink"/>
          </w:rPr>
          <w:t xml:space="preserve">Chapter 4</w:t>
        </w:r>
      </w:hyperlink>
      <w:r>
        <w:t xml:space="preserve"> </w:t>
      </w:r>
      <w:r>
        <w:t xml:space="preserve">and</w:t>
      </w:r>
      <w:r>
        <w:t xml:space="preserve"> </w:t>
      </w:r>
      <w:hyperlink w:anchor="sec-models-of-treatments">
        <w:r>
          <w:rPr>
            <w:rStyle w:val="Hyperlink"/>
          </w:rPr>
          <w:t xml:space="preserve">Chapter 5</w:t>
        </w:r>
      </w:hyperlink>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tbl>
      <w:tblPr>
        <w:tblStyle w:val="Table"/>
        <w:tblW w:type="pct" w:w="5000"/>
        <w:tblLook w:firstRow="0" w:lastRow="0" w:firstColumn="0" w:lastColumn="0" w:noHBand="0" w:noVBand="0" w:val="0000"/>
      </w:tblPr>
      <w:tblGrid>
        <w:gridCol w:w="7920"/>
      </w:tblGrid>
      <w:tr>
        <w:tc>
          <w:tcPr/>
          <w:bookmarkStart w:id="44" w:name="fig-arch"/>
          <w:p>
            <w:pPr>
              <w:pStyle w:val="Figure"/>
              <w:jc w:val="center"/>
            </w:pPr>
            <w:r>
              <w:drawing>
                <wp:inline>
                  <wp:extent cx="5334000" cy="4667250"/>
                  <wp:effectExtent b="0" l="0" r="0" t="0"/>
                  <wp:docPr descr="" title="" id="42" name="Picture"/>
                  <a:graphic>
                    <a:graphicData uri="http://schemas.openxmlformats.org/drawingml/2006/picture">
                      <pic:pic>
                        <pic:nvPicPr>
                          <pic:cNvPr descr="./resources/arch.png" id="43" name="Picture"/>
                          <pic:cNvPicPr>
                            <a:picLocks noChangeArrowheads="1" noChangeAspect="1"/>
                          </pic:cNvPicPr>
                        </pic:nvPicPr>
                        <pic:blipFill>
                          <a:blip r:embed="rId41"/>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Two-eye Architecture.</w:t>
            </w:r>
          </w:p>
          <w:bookmarkEnd w:id="44"/>
        </w:tc>
      </w:tr>
    </w:tbl>
    <w:tbl>
      <w:tblPr>
        <w:tblStyle w:val="Table"/>
        <w:tblW w:type="pct" w:w="5000"/>
        <w:tblLook w:firstRow="0" w:lastRow="0" w:firstColumn="0" w:lastColumn="0" w:noHBand="0" w:noVBand="0" w:val="0000"/>
      </w:tblPr>
      <w:tblGrid>
        <w:gridCol w:w="7920"/>
      </w:tblGrid>
      <w:tr>
        <w:tc>
          <w:tcPr/>
          <w:bookmarkStart w:id="48" w:name="fig-normal-inputs"/>
          <w:p>
            <w:pPr>
              <w:pStyle w:val="Figure"/>
              <w:jc w:val="center"/>
            </w:pPr>
            <w:r>
              <w:drawing>
                <wp:inline>
                  <wp:extent cx="5334000" cy="1619250"/>
                  <wp:effectExtent b="0" l="0" r="0" t="0"/>
                  <wp:docPr descr="" title="" id="46" name="Picture"/>
                  <a:graphic>
                    <a:graphicData uri="http://schemas.openxmlformats.org/drawingml/2006/picture">
                      <pic:pic>
                        <pic:nvPicPr>
                          <pic:cNvPr descr="./Natural%20Image%20Environment_files/figure-docx/fig-normal-inputs-output-1.png" id="47" name="Picture"/>
                          <pic:cNvPicPr>
                            <a:picLocks noChangeArrowheads="1" noChangeAspect="1"/>
                          </pic:cNvPicPr>
                        </pic:nvPicPr>
                        <pic:blipFill>
                          <a:blip r:embed="rId45"/>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A sample of 24 input patches from a normal visual environment. The left- and right-eye inputs are shown in pairs.</w:t>
            </w:r>
          </w:p>
          <w:bookmarkEnd w:id="48"/>
        </w:tc>
      </w:tr>
    </w:tbl>
    <w:bookmarkEnd w:id="49"/>
    <w:bookmarkEnd w:id="50"/>
    <w:bookmarkStart w:id="69" w:name="synaptic-modification"/>
    <w:p>
      <w:pPr>
        <w:pStyle w:val="Heading1"/>
      </w:pPr>
      <w:r>
        <w:t xml:space="preserve">3. Synaptic Modification</w:t>
      </w:r>
    </w:p>
    <w:bookmarkStart w:id="55" w:name="the-bcm-learning-rule"/>
    <w:p>
      <w:pPr>
        <w:pStyle w:val="Heading2"/>
      </w:pPr>
      <w:r>
        <w:t xml:space="preserve">3.1 The BCM Learning Rule</w:t>
      </w:r>
    </w:p>
    <w:p>
      <w:pPr>
        <w:pStyle w:val="FirstParagraph"/>
      </w:pPr>
      <w:r>
        <w:t xml:space="preserve">We use a single neuron and the parabolic form of the BCM</w:t>
      </w:r>
      <w:r>
        <w:t xml:space="preserve">(Bienenstock, Cooper, and Munro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tbl>
      <w:tblPr>
        <w:tblStyle w:val="Table"/>
        <w:tblW w:type="pct" w:w="5000"/>
        <w:tblLook w:firstRow="0" w:lastRow="0" w:firstColumn="0" w:lastColumn="0" w:noHBand="0" w:noVBand="0" w:val="0000"/>
      </w:tblPr>
      <w:tblGrid>
        <w:gridCol w:w="7920"/>
      </w:tblGrid>
      <w:tr>
        <w:tc>
          <w:tcPr/>
          <w:bookmarkStart w:id="54" w:name="fig-phi"/>
          <w:p>
            <w:pPr>
              <w:pStyle w:val="Figure"/>
              <w:jc w:val="center"/>
            </w:pPr>
            <w:r>
              <w:drawing>
                <wp:inline>
                  <wp:extent cx="5334000" cy="4182717"/>
                  <wp:effectExtent b="0" l="0" r="0" t="0"/>
                  <wp:docPr descr="" title="" id="52" name="Picture"/>
                  <a:graphic>
                    <a:graphicData uri="http://schemas.openxmlformats.org/drawingml/2006/picture">
                      <pic:pic>
                        <pic:nvPicPr>
                          <pic:cNvPr descr="./Synaptic%20Modification_files/figure-docx/fig-phi-output-1.png" id="53" name="Picture"/>
                          <pic:cNvPicPr>
                            <a:picLocks noChangeArrowheads="1" noChangeAspect="1"/>
                          </pic:cNvPicPr>
                        </pic:nvPicPr>
                        <pic:blipFill>
                          <a:blip r:embed="rId51"/>
                          <a:stretch>
                            <a:fillRect/>
                          </a:stretch>
                        </pic:blipFill>
                        <pic:spPr bwMode="auto">
                          <a:xfrm>
                            <a:off x="0" y="0"/>
                            <a:ext cx="5334000" cy="4182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BCM synaptic modification function. Units are arbitrary.</w:t>
            </w:r>
          </w:p>
          <w:bookmarkEnd w:id="54"/>
        </w:tc>
      </w:tr>
    </w:tbl>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55"/>
    <w:bookmarkStart w:id="68" w:name="simulation"/>
    <w:p>
      <w:pPr>
        <w:pStyle w:val="Heading2"/>
      </w:pPr>
      <w:r>
        <w:t xml:space="preserve">3.2 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w:t>
      </w:r>
      <w:r>
        <w:t xml:space="preserve"> </w:t>
      </w:r>
      <w:hyperlink w:anchor="fig-normal-inputs">
        <w:r>
          <w:rPr>
            <w:rStyle w:val="Hyperlink"/>
          </w:rPr>
          <w:t xml:space="preserve">Figure 2.4</w:t>
        </w:r>
      </w:hyperlink>
      <w:r>
        <w:t xml:space="preserve">,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59" w:name="fig-nr_sim-1"/>
                <w:p>
                  <w:pPr>
                    <w:pStyle w:val="Figure"/>
                    <w:jc w:val="center"/>
                    <w:jc w:val="center"/>
                  </w:pPr>
                  <w:r>
                    <w:drawing>
                      <wp:inline>
                        <wp:extent cx="2971800" cy="6677944"/>
                        <wp:effectExtent b="0" l="0" r="0" t="0"/>
                        <wp:docPr descr="" title="" id="57" name="Picture"/>
                        <a:graphic>
                          <a:graphicData uri="http://schemas.openxmlformats.org/drawingml/2006/picture">
                            <pic:pic>
                              <pic:nvPicPr>
                                <pic:cNvPr descr="./Synaptic%20Modification_files/figure-docx/fig-nr_sim-output-1.png" id="58" name="Picture"/>
                                <pic:cNvPicPr>
                                  <a:picLocks noChangeArrowheads="1" noChangeAspect="1"/>
                                </pic:cNvPicPr>
                              </pic:nvPicPr>
                              <pic:blipFill>
                                <a:blip r:embed="rId56"/>
                                <a:stretch>
                                  <a:fillRect/>
                                </a:stretch>
                              </pic:blipFill>
                              <pic:spPr bwMode="auto">
                                <a:xfrm>
                                  <a:off x="0" y="0"/>
                                  <a:ext cx="2971800" cy="66779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Synaptic weights where black denotes weak weights and white denotes strone weights. A clear preference for oriented stimuli can be seen.</w:t>
                  </w:r>
                </w:p>
                <w:bookmarkEnd w:id="59"/>
              </w:tc>
            </w:tr>
          </w:tbl>
          <w:p/>
        </w:tc>
        <w:tc>
          <w:tcPr/>
          <w:tbl>
            <w:tblPr>
              <w:tblStyle w:val="Table"/>
              <w:tblW w:type="pct" w:w="5000"/>
              <w:tblLook w:firstRow="0" w:lastRow="0" w:firstColumn="0" w:lastColumn="0" w:noHBand="0" w:noVBand="0" w:val="0000"/>
            </w:tblPr>
            <w:tblGrid>
              <w:gridCol w:w="7920"/>
            </w:tblGrid>
            <w:tr>
              <w:tc>
                <w:tcPr/>
                <w:bookmarkStart w:id="63" w:name="fig-nr_sim-2"/>
                <w:p>
                  <w:pPr>
                    <w:pStyle w:val="Figure"/>
                    <w:jc w:val="center"/>
                    <w:jc w:val="center"/>
                  </w:pPr>
                  <w:r>
                    <w:drawing>
                      <wp:inline>
                        <wp:extent cx="2971800" cy="2290954"/>
                        <wp:effectExtent b="0" l="0" r="0" t="0"/>
                        <wp:docPr descr="" title="" id="61" name="Picture"/>
                        <a:graphic>
                          <a:graphicData uri="http://schemas.openxmlformats.org/drawingml/2006/picture">
                            <pic:pic>
                              <pic:nvPicPr>
                                <pic:cNvPr descr="./Synaptic%20Modification_files/figure-docx/fig-nr_sim-output-2.png" id="62" name="Picture"/>
                                <pic:cNvPicPr>
                                  <a:picLocks noChangeArrowheads="1" noChangeAspect="1"/>
                                </pic:cNvPicPr>
                              </pic:nvPicPr>
                              <pic:blipFill>
                                <a:blip r:embed="rId60"/>
                                <a:stretch>
                                  <a:fillRect/>
                                </a:stretch>
                              </pic:blipFill>
                              <pic:spPr bwMode="auto">
                                <a:xfrm>
                                  <a:off x="0" y="0"/>
                                  <a:ext cx="2971800" cy="229095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BCM modification threshold over time. The value converges to nearly the same level for all neurons.</w:t>
                  </w:r>
                </w:p>
                <w:bookmarkEnd w:id="63"/>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7" w:name="fig-nr_sim-3"/>
                <w:p>
                  <w:pPr>
                    <w:pStyle w:val="Figure"/>
                    <w:jc w:val="center"/>
                    <w:jc w:val="center"/>
                  </w:pPr>
                  <w:r>
                    <w:drawing>
                      <wp:inline>
                        <wp:extent cx="5334000" cy="4415224"/>
                        <wp:effectExtent b="0" l="0" r="0" t="0"/>
                        <wp:docPr descr="" title="" id="65" name="Picture"/>
                        <a:graphic>
                          <a:graphicData uri="http://schemas.openxmlformats.org/drawingml/2006/picture">
                            <pic:pic>
                              <pic:nvPicPr>
                                <pic:cNvPr descr="./Synaptic%20Modification_files/figure-docx/fig-nr_sim-output-3.png" id="66" name="Picture"/>
                                <pic:cNvPicPr>
                                  <a:picLocks noChangeArrowheads="1" noChangeAspect="1"/>
                                </pic:cNvPicPr>
                              </pic:nvPicPr>
                              <pic:blipFill>
                                <a:blip r:embed="rId64"/>
                                <a:stretch>
                                  <a:fillRect/>
                                </a:stretch>
                              </pic:blipFill>
                              <pic:spPr bwMode="auto">
                                <a:xfrm>
                                  <a:off x="0" y="0"/>
                                  <a:ext cx="5334000" cy="441522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Responses to Oriented Stimuli after training. Each neuron develops orientation selectivity to a range of optimum angles.</w:t>
                  </w:r>
                </w:p>
                <w:bookmarkEnd w:id="67"/>
              </w:tc>
            </w:tr>
          </w:tbl>
          <w:p/>
        </w:tc>
      </w:tr>
    </w:tbl>
    <w:p>
      <w:pPr>
        <w:pStyle w:val="BodyText"/>
      </w:pPr>
      <w:pPr>
        <w:spacing w:before="200"/>
        <w:pStyle w:val="ImageCaption"/>
      </w:pPr>
      <w:r>
        <w:t xml:space="preserve">Figure 3.2: Simulation of 5 neurons receiving identical natural image patterns into the left- and right-input channels.</w:t>
      </w:r>
    </w:p>
    <w:bookmarkEnd w:id="68"/>
    <w:bookmarkEnd w:id="69"/>
    <w:bookmarkStart w:id="84" w:name="sec-models-of-development"/>
    <w:p>
      <w:pPr>
        <w:pStyle w:val="Heading1"/>
      </w:pPr>
      <w:r>
        <w:t xml:space="preserve">4. Models of Development of Amblyopia</w:t>
      </w:r>
    </w:p>
    <w:p>
      <w:pPr>
        <w:pStyle w:val="FirstParagraph"/>
      </w:pPr>
      <w:r>
        <w:t xml:space="preserve">Amblyopia is a reduction of the best-corrected visual acuity (BCVA) with an otherwise normal eye and has many causes</w:t>
      </w:r>
      <w:r>
        <w:t xml:space="preserve">(D. K. 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bookmarkStart w:id="74" w:name="refractive-amblyopia"/>
    <w:p>
      <w:pPr>
        <w:pStyle w:val="Heading2"/>
      </w:pPr>
      <w:r>
        <w:t xml:space="preserve">4.1 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w:t>
      </w:r>
    </w:p>
    <w:tbl>
      <w:tblPr>
        <w:tblStyle w:val="Table"/>
        <w:tblW w:type="pct" w:w="5000"/>
        <w:tblLook w:firstRow="0" w:lastRow="0" w:firstColumn="0" w:lastColumn="0" w:noHBand="0" w:noVBand="0" w:val="0000"/>
      </w:tblPr>
      <w:tblGrid>
        <w:gridCol w:w="7920"/>
      </w:tblGrid>
      <w:tr>
        <w:tc>
          <w:tcPr/>
          <w:bookmarkStart w:id="73" w:name="fig-blurred-inputs"/>
          <w:p>
            <w:pPr>
              <w:pStyle w:val="Figure"/>
              <w:jc w:val="center"/>
            </w:pPr>
            <w:r>
              <w:drawing>
                <wp:inline>
                  <wp:extent cx="5334000" cy="1619250"/>
                  <wp:effectExtent b="0" l="0" r="0" t="0"/>
                  <wp:docPr descr="" title="" id="71" name="Picture"/>
                  <a:graphic>
                    <a:graphicData uri="http://schemas.openxmlformats.org/drawingml/2006/picture">
                      <pic:pic>
                        <pic:nvPicPr>
                          <pic:cNvPr descr="./Deficit%20Models_files/figure-docx/fig-blurred-inputs-output-1.png" id="72" name="Picture"/>
                          <pic:cNvPicPr>
                            <a:picLocks noChangeArrowheads="1" noChangeAspect="1"/>
                          </pic:cNvPicPr>
                        </pic:nvPicPr>
                        <pic:blipFill>
                          <a:blip r:embed="rId70"/>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 sample of 24 input patches from a refractive amblyopic environment. The amblyopic (blurred) input is the square on the left-hand side of each pair.</w:t>
            </w:r>
          </w:p>
          <w:bookmarkEnd w:id="73"/>
        </w:tc>
      </w:tr>
    </w:tbl>
    <w:bookmarkEnd w:id="74"/>
    <w:bookmarkStart w:id="83" w:name="strabismic-amblyopia"/>
    <w:p>
      <w:pPr>
        <w:pStyle w:val="Heading2"/>
      </w:pPr>
      <w:r>
        <w:t xml:space="preserve">4.2 Strabismic amblyopia</w:t>
      </w:r>
    </w:p>
    <w:p>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w:t>
      </w:r>
      <w:r>
        <w:t xml:space="preserve"> </w:t>
      </w:r>
      <w:hyperlink w:anchor="fig-jitter-inputs">
        <w:r>
          <w:rPr>
            <w:rStyle w:val="Hyperlink"/>
          </w:rPr>
          <w:t xml:space="preserve">Figure 4.2</w:t>
        </w:r>
      </w:hyperlink>
      <w:r>
        <w:t xml:space="preserve"> </w:t>
      </w:r>
      <w:r>
        <w:t xml:space="preserve">with the offset locations shown in</w:t>
      </w:r>
      <w:r>
        <w:t xml:space="preserve"> </w:t>
      </w:r>
      <w:hyperlink w:anchor="fig-jitter-input-locations">
        <w:r>
          <w:rPr>
            <w:rStyle w:val="Hyperlink"/>
          </w:rPr>
          <w:t xml:space="preserve">Figure 4.3</w:t>
        </w:r>
      </w:hyperlink>
      <w:r>
        <w:t xml:space="preserve">.</w:t>
      </w:r>
    </w:p>
    <w:tbl>
      <w:tblPr>
        <w:tblStyle w:val="Table"/>
        <w:tblW w:type="pct" w:w="5000"/>
        <w:tblLook w:firstRow="0" w:lastRow="0" w:firstColumn="0" w:lastColumn="0" w:noHBand="0" w:noVBand="0" w:val="0000"/>
      </w:tblPr>
      <w:tblGrid>
        <w:gridCol w:w="7920"/>
      </w:tblGrid>
      <w:tr>
        <w:tc>
          <w:tcPr/>
          <w:bookmarkStart w:id="78" w:name="fig-jitter-inputs"/>
          <w:p>
            <w:pPr>
              <w:pStyle w:val="Figure"/>
              <w:jc w:val="center"/>
            </w:pPr>
            <w:r>
              <w:drawing>
                <wp:inline>
                  <wp:extent cx="5334000" cy="1619250"/>
                  <wp:effectExtent b="0" l="0" r="0" t="0"/>
                  <wp:docPr descr="" title="" id="76" name="Picture"/>
                  <a:graphic>
                    <a:graphicData uri="http://schemas.openxmlformats.org/drawingml/2006/picture">
                      <pic:pic>
                        <pic:nvPicPr>
                          <pic:cNvPr descr="./Deficit%20Models_files/figure-docx/fig-jitter-inputs-output-1.png" id="77" name="Picture"/>
                          <pic:cNvPicPr>
                            <a:picLocks noChangeArrowheads="1" noChangeAspect="1"/>
                          </pic:cNvPicPr>
                        </pic:nvPicPr>
                        <pic:blipFill>
                          <a:blip r:embed="rId75"/>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sample of 24 input patches from a strabismic visual environment achieved through random jitter of the amblyopic (left) eye.</w:t>
            </w:r>
          </w:p>
          <w:bookmarkEnd w:id="78"/>
        </w:tc>
      </w:tr>
    </w:tbl>
    <w:tbl>
      <w:tblPr>
        <w:tblStyle w:val="Table"/>
        <w:tblW w:type="pct" w:w="5000"/>
        <w:tblLook w:firstRow="0" w:lastRow="0" w:firstColumn="0" w:lastColumn="0" w:noHBand="0" w:noVBand="0" w:val="0000"/>
      </w:tblPr>
      <w:tblGrid>
        <w:gridCol w:w="7920"/>
      </w:tblGrid>
      <w:tr>
        <w:tc>
          <w:tcPr/>
          <w:bookmarkStart w:id="82" w:name="fig-jitter-input-locations"/>
          <w:p>
            <w:pPr>
              <w:pStyle w:val="Figure"/>
              <w:jc w:val="center"/>
            </w:pPr>
            <w:r>
              <w:drawing>
                <wp:inline>
                  <wp:extent cx="5334000" cy="4206240"/>
                  <wp:effectExtent b="0" l="0" r="0" t="0"/>
                  <wp:docPr descr="" title="" id="80" name="Picture"/>
                  <a:graphic>
                    <a:graphicData uri="http://schemas.openxmlformats.org/drawingml/2006/picture">
                      <pic:pic>
                        <pic:nvPicPr>
                          <pic:cNvPr descr="./Deficit%20Models_files/figure-docx/fig-jitter-input-locations-output-1.png" id="81" name="Picture"/>
                          <pic:cNvPicPr>
                            <a:picLocks noChangeArrowheads="1" noChangeAspect="1"/>
                          </pic:cNvPicPr>
                        </pic:nvPicPr>
                        <pic:blipFill>
                          <a:blip r:embed="rId79"/>
                          <a:stretch>
                            <a:fillRect/>
                          </a:stretch>
                        </pic:blipFill>
                        <pic:spPr bwMode="auto">
                          <a:xfrm>
                            <a:off x="0" y="0"/>
                            <a:ext cx="5334000" cy="4206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Locations of the center of the left- and right-field of view receptive fields, jittered randomly with set mean and standard deviation. The average receptive fields are shown as gray squares.</w:t>
            </w:r>
          </w:p>
          <w:bookmarkEnd w:id="82"/>
        </w:tc>
      </w:tr>
    </w:tbl>
    <w:bookmarkEnd w:id="83"/>
    <w:bookmarkEnd w:id="84"/>
    <w:bookmarkStart w:id="97" w:name="sec-models-of-treatments"/>
    <w:p>
      <w:pPr>
        <w:pStyle w:val="Heading1"/>
      </w:pPr>
      <w:r>
        <w:t xml:space="preserve">5. Models of Treatments for Amblyopia</w:t>
      </w:r>
    </w:p>
    <w:p>
      <w:pPr>
        <w:pStyle w:val="FirstParagraph"/>
      </w:pPr>
      <w:r>
        <w:t xml:space="preserve">To model the fix to the refractive imbalance we follow the deficit simulation with an input environment that is rebalanced, both eyes receiving nearly identical input patches (</w:t>
      </w:r>
      <w:hyperlink w:anchor="fig-normal-inputs">
        <w:r>
          <w:rPr>
            <w:rStyle w:val="Hyperlink"/>
          </w:rPr>
          <w:t xml:space="preserve">Figure 2.4</w:t>
        </w:r>
      </w:hyperlink>
      <w:r>
        <w:t xml:space="preserve">).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bookmarkStart w:id="89" w:name="patch-treatment"/>
    <w:p>
      <w:pPr>
        <w:pStyle w:val="Heading2"/>
      </w:pPr>
      <w:r>
        <w:t xml:space="preserve">5.1 Patch treatment</w:t>
      </w:r>
    </w:p>
    <w:p>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weak-eye and the</w:t>
      </w:r>
      <w:r>
        <w:t xml:space="preserve"> </w:t>
      </w:r>
      <w:r>
        <w:rPr>
          <w:iCs/>
          <w:i/>
        </w:rPr>
        <w:t xml:space="preserve">unstructured</w:t>
      </w:r>
      <w:r>
        <w:t xml:space="preserve"> </w:t>
      </w:r>
      <w:r>
        <w:t xml:space="preserve">(i.e. noise) input into the strong eye. It is not driven by a reduction in input activity.</w:t>
      </w:r>
      <w:r>
        <w:t xml:space="preserve"> </w:t>
      </w:r>
      <w:hyperlink w:anchor="fig-patch-inputs">
        <w:r>
          <w:rPr>
            <w:rStyle w:val="Hyperlink"/>
          </w:rPr>
          <w:t xml:space="preserve">Figure 5.1</w:t>
        </w:r>
      </w:hyperlink>
      <w:r>
        <w:t xml:space="preserve"> </w:t>
      </w:r>
      <w:r>
        <w:t xml:space="preserve">shows sample simulation input patterns from the patched eye. Compare this to</w:t>
      </w:r>
      <w:r>
        <w:t xml:space="preserve"> </w:t>
      </w:r>
      <w:hyperlink w:anchor="fig-normal-inputs">
        <w:r>
          <w:rPr>
            <w:rStyle w:val="Hyperlink"/>
          </w:rPr>
          <w:t xml:space="preserve">Figure 2.4</w:t>
        </w:r>
      </w:hyperlink>
      <w:r>
        <w:t xml:space="preserve"> </w:t>
      </w:r>
      <w:r>
        <w:t xml:space="preserve">to see that the simulated patch has far less structure than the normal inputs.</w:t>
      </w:r>
    </w:p>
    <w:tbl>
      <w:tblPr>
        <w:tblStyle w:val="Table"/>
        <w:tblW w:type="pct" w:w="5000"/>
        <w:tblLook w:firstRow="0" w:lastRow="0" w:firstColumn="0" w:lastColumn="0" w:noHBand="0" w:noVBand="0" w:val="0000"/>
      </w:tblPr>
      <w:tblGrid>
        <w:gridCol w:w="7920"/>
      </w:tblGrid>
      <w:tr>
        <w:tc>
          <w:tcPr/>
          <w:bookmarkStart w:id="88" w:name="fig-patch-inputs"/>
          <w:p>
            <w:pPr>
              <w:pStyle w:val="Figure"/>
              <w:jc w:val="center"/>
            </w:pPr>
            <w:r>
              <w:drawing>
                <wp:inline>
                  <wp:extent cx="5334000" cy="3221243"/>
                  <wp:effectExtent b="0" l="0" r="0" t="0"/>
                  <wp:docPr descr="" title="" id="86" name="Picture"/>
                  <a:graphic>
                    <a:graphicData uri="http://schemas.openxmlformats.org/drawingml/2006/picture">
                      <pic:pic>
                        <pic:nvPicPr>
                          <pic:cNvPr descr="./Treatment%20Models_files/figure-docx/fig-patch-inputs-output-1.png" id="87" name="Picture"/>
                          <pic:cNvPicPr>
                            <a:picLocks noChangeArrowheads="1" noChangeAspect="1"/>
                          </pic:cNvPicPr>
                        </pic:nvPicPr>
                        <pic:blipFill>
                          <a:blip r:embed="rId85"/>
                          <a:stretch>
                            <a:fillRect/>
                          </a:stretch>
                        </pic:blipFill>
                        <pic:spPr bwMode="auto">
                          <a:xfrm>
                            <a:off x="0" y="0"/>
                            <a:ext cx="5334000" cy="32212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sample of 24 input patches from a patched visual environment.</w:t>
            </w:r>
          </w:p>
          <w:bookmarkEnd w:id="88"/>
        </w:tc>
      </w:tr>
    </w:tbl>
    <w:bookmarkEnd w:id="89"/>
    <w:bookmarkStart w:id="94" w:name="contrast-modification"/>
    <w:p>
      <w:pPr>
        <w:pStyle w:val="Heading2"/>
      </w:pPr>
      <w:r>
        <w:t xml:space="preserve">5.2 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normal, unblurred channel with a simple scalar multiplier applied to each pixel (Figure</w:t>
      </w:r>
      <w:r>
        <w:t xml:space="preserve"> </w:t>
      </w:r>
      <w:hyperlink w:anchor="fig:input">
        <w:r>
          <w:rPr>
            <w:rStyle w:val="Hyperlink"/>
          </w:rPr>
          <w:t xml:space="preserve">4</w:t>
        </w:r>
      </w:hyperlink>
      <w:r>
        <w:t xml:space="preserve"> </w:t>
      </w:r>
      <w:r>
        <w:t xml:space="preserve">D). The contrast difference sets up competition between the two channels with the advantage given to the weak-eye channel.</w:t>
      </w:r>
    </w:p>
    <w:tbl>
      <w:tblPr>
        <w:tblStyle w:val="Table"/>
        <w:tblW w:type="pct" w:w="5000"/>
        <w:tblLook w:firstRow="0" w:lastRow="0" w:firstColumn="0" w:lastColumn="0" w:noHBand="0" w:noVBand="0" w:val="0000"/>
      </w:tblPr>
      <w:tblGrid>
        <w:gridCol w:w="7920"/>
      </w:tblGrid>
      <w:tr>
        <w:tc>
          <w:tcPr/>
          <w:bookmarkStart w:id="93" w:name="fig-contrast-modified-inputs"/>
          <w:p>
            <w:pPr>
              <w:pStyle w:val="Figure"/>
              <w:jc w:val="center"/>
            </w:pPr>
            <w:r>
              <w:drawing>
                <wp:inline>
                  <wp:extent cx="5334000" cy="1619250"/>
                  <wp:effectExtent b="0" l="0" r="0" t="0"/>
                  <wp:docPr descr="" title="" id="91" name="Picture"/>
                  <a:graphic>
                    <a:graphicData uri="http://schemas.openxmlformats.org/drawingml/2006/picture">
                      <pic:pic>
                        <pic:nvPicPr>
                          <pic:cNvPr descr="./Treatment%20Models_files/figure-docx/fig-contrast-modified-inputs-output-1.png" id="92" name="Picture"/>
                          <pic:cNvPicPr>
                            <a:picLocks noChangeArrowheads="1" noChangeAspect="1"/>
                          </pic:cNvPicPr>
                        </pic:nvPicPr>
                        <pic:blipFill>
                          <a:blip r:embed="rId90"/>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sample of 24 input patches from a normal visual environment with the right-channel down-scaled relative to the left.</w:t>
            </w:r>
          </w:p>
          <w:bookmarkEnd w:id="93"/>
        </w:tc>
      </w:tr>
    </w:tbl>
    <w:bookmarkEnd w:id="94"/>
    <w:bookmarkStart w:id="95" w:name="dichoptic-mask"/>
    <w:p>
      <w:pPr>
        <w:pStyle w:val="Heading2"/>
      </w:pPr>
      <w:r>
        <w:t xml:space="preserve">5.3 Dichoptic Mask</w:t>
      </w:r>
    </w:p>
    <w:p>
      <w:pPr>
        <w:pStyle w:val="FirstParagraph"/>
      </w:pPr>
      <w:r>
        <w:t xml:space="preserve">On top of the contrast modification, we can include the application of the dichoptic mask (Figure</w:t>
      </w:r>
      <w:r>
        <w:t xml:space="preserve"> </w:t>
      </w:r>
      <w:r>
        <w:t xml:space="preserve">(</w:t>
      </w:r>
      <w:r>
        <w:rPr>
          <w:bCs/>
          <w:b/>
        </w:rPr>
        <w:t xml:space="preserve">fig:input?</w:t>
      </w:r>
      <w:r>
        <w:t xml:space="preserve">)</w:t>
      </w:r>
      <w:r>
        <w:t xml:space="preserve"> </w:t>
      </w:r>
      <w:r>
        <w:t xml:space="preserve">E). In this method, each eye receives a version of the input images filtered through independent masks in each channel, resulting in a mostly-independent pattern in each channel.</w:t>
      </w:r>
      <w:r>
        <w:br/>
      </w:r>
      <w:r>
        <w:t xml:space="preserve">It has been observed that contrast modification combined with dichoptic masks can be an effective treatment for amblyopia</w:t>
      </w:r>
      <w:r>
        <w:t xml:space="preserve">(</w:t>
      </w:r>
      <w:r>
        <w:rPr>
          <w:bCs/>
          <w:b/>
        </w:rPr>
        <w:t xml:space="preserve">xiao2021randomized?</w:t>
      </w:r>
      <w:r>
        <w:t xml:space="preserve">)</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w:t>
      </w:r>
      <w:r>
        <w:t xml:space="preserve"> </w:t>
      </w:r>
      <w:r>
        <w:t xml:space="preserve">(</w:t>
      </w:r>
      <w:r>
        <w:rPr>
          <w:bCs/>
          <w:b/>
        </w:rPr>
        <w:t xml:space="preserve">fig:dichopic_blob?</w:t>
      </w:r>
      <w:r>
        <w:t xml:space="preserve">)</w:t>
      </w:r>
      <w:r>
        <w:t xml:space="preserve">). These images are then smoothed with a Gaussian filter of a given width,</w:t>
      </w:r>
      <w:r>
        <w:t xml:space="preserve"> </w:t>
      </w:r>
      <m:oMath>
        <m:r>
          <m:t>f</m:t>
        </m:r>
      </m:oMath>
      <w:r>
        <w:t xml:space="preserve">.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weak- and strong-eye inputs (Figure</w:t>
      </w:r>
      <w:r>
        <w:t xml:space="preserve"> </w:t>
      </w:r>
      <w:r>
        <w:t xml:space="preserve">(</w:t>
      </w:r>
      <w:r>
        <w:rPr>
          <w:bCs/>
          <w:b/>
        </w:rPr>
        <w:t xml:space="preserve">fig:dichopic_filter_size?</w:t>
      </w:r>
      <w:r>
        <w:t xml:space="preserve">)</w:t>
      </w:r>
      <w:r>
        <w:t xml:space="preserve">).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w:t>
      </w:r>
      <w:r>
        <w:t xml:space="preserve"> </w:t>
      </w:r>
      <w:r>
        <w:t xml:space="preserve">(</w:t>
      </w:r>
      <w:r>
        <w:rPr>
          <w:bCs/>
          <w:b/>
        </w:rPr>
        <w:t xml:space="preserve">fig:dichopic_filter_image?</w:t>
      </w:r>
      <w:r>
        <w:t xml:space="preserve">)</w:t>
      </w:r>
      <w:r>
        <w:t xml:space="preserve">).</w:t>
      </w:r>
    </w:p>
    <w:bookmarkEnd w:id="95"/>
    <w:bookmarkStart w:id="96" w:name="atropine-treatment"/>
    <w:p>
      <w:pPr>
        <w:pStyle w:val="Heading2"/>
      </w:pPr>
      <w:r>
        <w:t xml:space="preserve">5.4 Atropine treatment</w:t>
      </w:r>
    </w:p>
    <w:p>
      <w:pPr>
        <w:pStyle w:val="FirstParagraph"/>
      </w:pPr>
      <w:r>
        <w:t xml:space="preserve">In the atropine treatment for amblyopia</w:t>
      </w:r>
      <w:r>
        <w:t xml:space="preserve">(Glaser et al. 2002)</w:t>
      </w:r>
      <w:r>
        <w:t xml:space="preserve">, eye-drops of atropine are applied to the strong-eye resulting in blurred vision in that eye. Here we use the same blurred filter used to obtain the deficit (possibly with a different width) applied to the strong eye (Figure</w:t>
      </w:r>
      <w:r>
        <w:t xml:space="preserve"> </w:t>
      </w:r>
      <w:r>
        <w:t xml:space="preserve">(</w:t>
      </w:r>
      <w:r>
        <w:rPr>
          <w:bCs/>
          <w:b/>
        </w:rPr>
        <w:t xml:space="preserve">fig:input?</w:t>
      </w:r>
      <w:r>
        <w:t xml:space="preserve">)</w:t>
      </w:r>
      <w:r>
        <w:t xml:space="preserve"> </w:t>
      </w:r>
      <w:r>
        <w:t xml:space="preserve">F). The difference in sharpness between the strong-eye inputs and the weak-eye inputs sets up competition between the two channels with the advantage given to the weak-eye.</w:t>
      </w:r>
    </w:p>
    <w:bookmarkEnd w:id="96"/>
    <w:bookmarkEnd w:id="97"/>
    <w:bookmarkStart w:id="101" w:name="ocular-dominance-index"/>
    <w:p>
      <w:pPr>
        <w:pStyle w:val="Heading1"/>
      </w:pPr>
      <w:r>
        <w:t xml:space="preserve">6. 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strong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weak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Applications/quarto/share/formats/docx/important.png" id="100" name="Picture"/>
                          <pic:cNvPicPr>
                            <a:picLocks noChangeArrowheads="1" noChangeAspect="1"/>
                          </pic:cNvPicPr>
                        </pic:nvPicPr>
                        <pic:blipFill>
                          <a:blip r:embed="rId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numPr>
                <w:ilvl w:val="0"/>
                <w:numId w:val="1009"/>
              </w:numPr>
              <w:pStyle w:val="Compact"/>
            </w:pPr>
            <w:r>
              <w:t xml:space="preserve">do an orientation tuning index</w:t>
            </w:r>
          </w:p>
          <w:p>
            <w:pPr>
              <w:numPr>
                <w:ilvl w:val="0"/>
                <w:numId w:val="1009"/>
              </w:numPr>
              <w:pStyle w:val="Compact"/>
            </w:pPr>
            <w:r>
              <w:t xml:space="preserve">do a spatial frequency tuning index</w:t>
            </w:r>
          </w:p>
        </w:tc>
      </w:tr>
    </w:tbl>
    <w:bookmarkEnd w:id="101"/>
    <w:bookmarkStart w:id="102" w:name="X0d84ba3923ebcb85ef5657440953e88066af4d7"/>
    <w:p>
      <w:pPr>
        <w:pStyle w:val="Heading1"/>
      </w:pPr>
      <w:r>
        <w:t xml:space="preserve">7. Deficit and Measuring the Effectiveness of a Treatment</w:t>
      </w:r>
    </w:p>
    <w:p>
      <w:pPr>
        <w:pStyle w:val="FirstParagraph"/>
      </w:pPr>
      <w:r>
        <w:t xml:space="preserve">Figure</w:t>
      </w:r>
      <w:r>
        <w:t xml:space="preserve"> </w:t>
      </w:r>
      <w:r>
        <w:t xml:space="preserve">(</w:t>
      </w:r>
      <w:r>
        <w:rPr>
          <w:bCs/>
          <w:b/>
        </w:rPr>
        <w:t xml:space="preserve">fig:y_vs_t_fix_n0?</w:t>
      </w:r>
      <w:r>
        <w:t xml:space="preserve">)</w:t>
      </w:r>
      <w:r>
        <w:t xml:space="preserve"> </w:t>
      </w:r>
      <w:r>
        <w:t xml:space="preserve">shows the maximum response to oriented stimuli for</w:t>
      </w:r>
      <w:r>
        <w:t xml:space="preserve"> </w:t>
      </w:r>
      <m:oMath>
        <m:r>
          <m:t>n</m:t>
        </m:r>
        <m:r>
          <m:rPr>
            <m:sty m:val="p"/>
          </m:rPr>
          <m:t>=</m:t>
        </m:r>
        <m:r>
          <m:t>20</m:t>
        </m:r>
      </m:oMath>
      <w:r>
        <w:t xml:space="preserve"> </w:t>
      </w:r>
      <w:r>
        <w:t xml:space="preserve">neurons versus time. The first 8 days of simulated time define the</w:t>
      </w:r>
      <w:r>
        <w:t xml:space="preserve"> </w:t>
      </w:r>
      <w:r>
        <w:rPr>
          <w:iCs/>
          <w:i/>
        </w:rPr>
        <w:t xml:space="preserve">deficit</w:t>
      </w:r>
      <w:r>
        <w:t xml:space="preserve"> </w:t>
      </w:r>
      <w:r>
        <w:t xml:space="preserve">period, where the neurons start in a naïve state with random synaptic weights, and are presented with natural image input blurred in the weak-eye channel as in Section</w:t>
      </w:r>
      <w:r>
        <w:t xml:space="preserve"> </w:t>
      </w:r>
      <w:r>
        <w:t xml:space="preserve">(</w:t>
      </w:r>
      <w:r>
        <w:rPr>
          <w:bCs/>
          <w:b/>
        </w:rPr>
        <w:t xml:space="preserve">sec:methods?</w:t>
      </w:r>
      <w:r>
        <w:t xml:space="preserve">)</w:t>
      </w:r>
      <w:r>
        <w:t xml:space="preserve">. Following the deficit, the simulation proceeds into the</w:t>
      </w:r>
      <w:r>
        <w:t xml:space="preserve"> </w:t>
      </w:r>
      <w:r>
        <w:rPr>
          <w:iCs/>
          <w:i/>
        </w:rPr>
        <w:t xml:space="preserve">fix</w:t>
      </w:r>
      <w:r>
        <w:t xml:space="preserve"> </w:t>
      </w:r>
      <w:r>
        <w:t xml:space="preserve">period, where the balanced natural image input is restored. This transition is marked with a red line in Figure</w:t>
      </w:r>
      <w:r>
        <w:t xml:space="preserve"> </w:t>
      </w:r>
      <w:r>
        <w:t xml:space="preserve">(</w:t>
      </w:r>
      <w:r>
        <w:rPr>
          <w:bCs/>
          <w:b/>
        </w:rPr>
        <w:t xml:space="preserve">fig:y_vs_t_fix_n0?</w:t>
      </w:r>
      <w:r>
        <w:t xml:space="preserve">)</w:t>
      </w:r>
      <w:r>
        <w:t xml:space="preserve">. We can see only a modest improvement in the deprived-eye responses to the</w:t>
      </w:r>
      <w:r>
        <w:t xml:space="preserve"> </w:t>
      </w:r>
      <w:r>
        <w:rPr>
          <w:iCs/>
          <w:i/>
        </w:rPr>
        <w:t xml:space="preserve">fix</w:t>
      </w:r>
      <w:r>
        <w:t xml:space="preserve"> </w:t>
      </w:r>
      <w:r>
        <w:t xml:space="preserve">treatment. This treatment depends on the noise level presented to the open eye. In Figure</w:t>
      </w:r>
      <w:r>
        <w:t xml:space="preserve"> </w:t>
      </w:r>
      <w:r>
        <w:t xml:space="preserve">(</w:t>
      </w:r>
      <w:r>
        <w:rPr>
          <w:bCs/>
          <w:b/>
        </w:rPr>
        <w:t xml:space="preserve">fig:y_vs_t_fix_n0?</w:t>
      </w:r>
      <w:r>
        <w:t xml:space="preserve">)</w:t>
      </w:r>
      <w:r>
        <w:t xml:space="preserve">, that noise level is</w:t>
      </w:r>
      <w:r>
        <w:t xml:space="preserve"> </w:t>
      </w:r>
      <m:oMath>
        <m:sSub>
          <m:e>
            <m:r>
              <m:t>σ</m:t>
            </m:r>
          </m:e>
          <m:sub>
            <m:r>
              <m:t>n</m:t>
            </m:r>
          </m:sub>
        </m:sSub>
        <m:r>
          <m:rPr>
            <m:sty m:val="p"/>
          </m:rPr>
          <m:t>=</m:t>
        </m:r>
        <m:r>
          <m:t>0</m:t>
        </m:r>
      </m:oMath>
      <w:r>
        <w:t xml:space="preserve"> </w:t>
      </w:r>
      <w:r>
        <w:t xml:space="preserve">whereas in Figure</w:t>
      </w:r>
      <w:r>
        <w:t xml:space="preserve"> </w:t>
      </w:r>
      <w:r>
        <w:t xml:space="preserve">(</w:t>
      </w:r>
      <w:r>
        <w:rPr>
          <w:bCs/>
          <w:b/>
        </w:rPr>
        <w:t xml:space="preserve">fig:y_vs_t_fix_n1?</w:t>
      </w:r>
      <w:r>
        <w:t xml:space="preserve">)</w:t>
      </w:r>
      <w:r>
        <w:t xml:space="preserve"> </w:t>
      </w:r>
      <w:r>
        <w:t xml:space="preserve">the noise level is</w:t>
      </w:r>
      <w:r>
        <w:t xml:space="preserve"> </w:t>
      </w:r>
      <m:oMath>
        <m:sSub>
          <m:e>
            <m:r>
              <m:t>σ</m:t>
            </m:r>
          </m:e>
          <m:sub>
            <m:r>
              <m:t>n</m:t>
            </m:r>
          </m:sub>
        </m:sSub>
        <m:r>
          <m:rPr>
            <m:sty m:val="p"/>
          </m:rPr>
          <m:t>=</m:t>
        </m:r>
        <m:r>
          <m:t>1</m:t>
        </m:r>
      </m:oMath>
      <w:r>
        <w:t xml:space="preserve">. Increasing the open-eye noise results in an improved recovery from the deficit.</w:t>
      </w:r>
    </w:p>
    <w:p>
      <w:pPr>
        <w:pStyle w:val="BodyText"/>
      </w:pPr>
      <w:r>
        <w:t xml:space="preserve">Figure</w:t>
      </w:r>
      <w:r>
        <w:t xml:space="preserve"> </w:t>
      </w:r>
      <w:r>
        <w:t xml:space="preserve">(</w:t>
      </w:r>
      <w:r>
        <w:rPr>
          <w:bCs/>
          <w:b/>
        </w:rPr>
        <w:t xml:space="preserve">fig:ODI_vs_t_fix_n1?</w:t>
      </w:r>
      <w:r>
        <w:t xml:space="preserve">)</w:t>
      </w:r>
      <w:r>
        <w:t xml:space="preserve"> </w:t>
      </w:r>
      <w:r>
        <w:t xml:space="preserve">shows a measurement of this recovery, using the oculur dominance index described in Section</w:t>
      </w:r>
      <w:r>
        <w:t xml:space="preserve"> </w:t>
      </w:r>
      <w:r>
        <w:t xml:space="preserve">(</w:t>
      </w:r>
      <w:r>
        <w:rPr>
          <w:bCs/>
          <w:b/>
        </w:rPr>
        <w:t xml:space="preserve">sec:ocular-dominance-index?</w:t>
      </w:r>
      <w:r>
        <w:t xml:space="preserve">)</w:t>
      </w:r>
      <w:r>
        <w:t xml:space="preserve">. Balance responses result in an</w:t>
      </w:r>
      <w:r>
        <w:t xml:space="preserve"> </w:t>
      </w:r>
      <m:oMath>
        <m:r>
          <m:rPr>
            <m:nor/>
            <m:sty m:val="p"/>
          </m:rPr>
          <m:t>ODI</m:t>
        </m:r>
        <m:r>
          <m:rPr>
            <m:sty m:val="p"/>
          </m:rPr>
          <m:t>=</m:t>
        </m:r>
        <m:r>
          <m:t>0</m:t>
        </m:r>
      </m:oMath>
      <w:r>
        <w:t xml:space="preserve">. As the deficit is increased, so the ODI increases toward 1. After the fix, with high levels of open-eye noise, the neurons nearly all recover from much of their initial deficit – the ODI nearly returns to</w:t>
      </w:r>
      <w:r>
        <w:t xml:space="preserve"> </w:t>
      </w:r>
      <m:oMath>
        <m:r>
          <m:rPr>
            <m:nor/>
            <m:sty m:val="p"/>
          </m:rPr>
          <m:t>ODI</m:t>
        </m:r>
        <m:r>
          <m:rPr>
            <m:sty m:val="p"/>
          </m:rPr>
          <m:t>=</m:t>
        </m:r>
        <m:r>
          <m:t>0</m:t>
        </m:r>
      </m:oMath>
      <w:r>
        <w:t xml:space="preserve">. A simple measure of the effectiveness of the treatment is the</w:t>
      </w:r>
      <w:r>
        <w:t xml:space="preserve"> </w:t>
      </w:r>
      <w:r>
        <w:rPr>
          <w:iCs/>
          <w:i/>
        </w:rPr>
        <w:t xml:space="preserve">rate</w:t>
      </w:r>
      <w:r>
        <w:t xml:space="preserve"> </w:t>
      </w:r>
      <w:r>
        <w:t xml:space="preserve">of the recovery of the ODI:</w:t>
      </w:r>
    </w:p>
    <w:p>
      <w:pPr>
        <w:pStyle w:val="BodyText"/>
      </w:pPr>
      <m:oMathPara>
        <m:oMathParaPr>
          <m:jc m:val="center"/>
        </m:oMathParaPr>
        <m:oMath>
          <m:r>
            <m:rPr>
              <m:nor/>
              <m:sty m:val="p"/>
            </m:rPr>
            <m:t>recovery rate</m:t>
          </m:r>
          <m:r>
            <m:rPr>
              <m:sty m:val="p"/>
            </m:rPr>
            <m:t>=</m:t>
          </m:r>
          <m:f>
            <m:fPr>
              <m:type m:val="bar"/>
            </m:fPr>
            <m:num>
              <m:r>
                <m:t>O</m:t>
              </m:r>
              <m:r>
                <m:t>D</m:t>
              </m:r>
              <m:sSub>
                <m:e>
                  <m:r>
                    <m:t>I</m:t>
                  </m:r>
                </m:e>
                <m:sub>
                  <m:r>
                    <m:rPr>
                      <m:nor/>
                      <m:sty m:val="p"/>
                    </m:rPr>
                    <m:t>deficit</m:t>
                  </m:r>
                </m:sub>
              </m:sSub>
              <m:r>
                <m:rPr>
                  <m:sty m:val="p"/>
                </m:rPr>
                <m:t>−</m:t>
              </m:r>
              <m:r>
                <m:t>O</m:t>
              </m:r>
              <m:r>
                <m:t>D</m:t>
              </m:r>
              <m:sSub>
                <m:e>
                  <m:r>
                    <m:t>I</m:t>
                  </m:r>
                </m:e>
                <m:sub>
                  <m:r>
                    <m:rPr>
                      <m:nor/>
                      <m:sty m:val="p"/>
                    </m:rPr>
                    <m:t>treatment</m:t>
                  </m:r>
                </m:sub>
              </m:sSub>
            </m:num>
            <m:den>
              <m:r>
                <m:rPr>
                  <m:nor/>
                  <m:sty m:val="p"/>
                </m:rPr>
                <m:t>duration of treatment</m:t>
              </m:r>
            </m:den>
          </m:f>
        </m:oMath>
      </m:oMathPara>
    </w:p>
    <w:bookmarkEnd w:id="102"/>
    <w:bookmarkStart w:id="106" w:name="recovery-using-glasses"/>
    <w:p>
      <w:pPr>
        <w:pStyle w:val="Heading1"/>
      </w:pPr>
      <w:r>
        <w:t xml:space="preserve">8. Recovery using glasses</w:t>
      </w:r>
    </w:p>
    <w:p>
      <w:pPr>
        <w:pStyle w:val="FirstParagraph"/>
      </w:pPr>
      <w:r>
        <w:t xml:space="preserve">The</w:t>
      </w:r>
      <w:r>
        <w:t xml:space="preserve"> </w:t>
      </w:r>
      <w:r>
        <w:t xml:space="preserve">“</w:t>
      </w:r>
      <w:r>
        <w:t xml:space="preserve">fix</w:t>
      </w:r>
      <w:r>
        <w:t xml:space="preserve">”</w:t>
      </w:r>
      <w:r>
        <w:t xml:space="preserve"> </w:t>
      </w:r>
      <w:r>
        <w:t xml:space="preserve">treatment described in Section</w:t>
      </w:r>
      <w:r>
        <w:t xml:space="preserve"> </w:t>
      </w:r>
      <w:r>
        <w:t xml:space="preserve">(</w:t>
      </w:r>
      <w:r>
        <w:rPr>
          <w:bCs/>
          <w:b/>
        </w:rPr>
        <w:t xml:space="preserve">sec:models-of-development-and-treatment-of-amblyopia?</w:t>
      </w:r>
      <w:r>
        <w:t xml:space="preserve">)</w:t>
      </w:r>
      <w:r>
        <w:t xml:space="preserve"> </w:t>
      </w:r>
      <w:r>
        <w:t xml:space="preserve">and Section</w:t>
      </w:r>
      <w:r>
        <w:t xml:space="preserve"> </w:t>
      </w:r>
      <w:r>
        <w:t xml:space="preserve">(</w:t>
      </w:r>
      <w:r>
        <w:rPr>
          <w:bCs/>
          <w:b/>
        </w:rPr>
        <w:t xml:space="preserve">sec:deficit-and-measuring-the-effectiveness-of-a-treatment?</w:t>
      </w:r>
      <w:r>
        <w:t xml:space="preserve">)</w:t>
      </w:r>
      <w:r>
        <w:t xml:space="preserve"> </w:t>
      </w:r>
      <w:r>
        <w:t xml:space="preserve">depends on the noise level in the open eye. Figure</w:t>
      </w:r>
      <w:r>
        <w:t xml:space="preserve"> </w:t>
      </w:r>
      <w:r>
        <w:t xml:space="preserve">(</w:t>
      </w:r>
      <w:r>
        <w:rPr>
          <w:bCs/>
          <w:b/>
        </w:rPr>
        <w:t xml:space="preserve">fig:dODI_fix_vs_noise?</w:t>
      </w:r>
      <w:r>
        <w:t xml:space="preserve">)</w:t>
      </w:r>
      <w:r>
        <w:t xml:space="preserve"> </w:t>
      </w:r>
      <w:r>
        <w:t xml:space="preserve">shows the rate of recovery as a function of this noise. For low-noise, there is very little improvement. For large noise,</w:t>
      </w:r>
      <w:r>
        <w:t xml:space="preserve"> </w:t>
      </w:r>
      <m:oMath>
        <m:sSub>
          <m:e>
            <m:r>
              <m:t>σ</m:t>
            </m:r>
          </m:e>
          <m:sub>
            <m:r>
              <m:t>n</m:t>
            </m:r>
          </m:sub>
        </m:sSub>
        <m:r>
          <m:rPr>
            <m:sty m:val="p"/>
          </m:rPr>
          <m:t>=</m:t>
        </m:r>
        <m:r>
          <m:t>1</m:t>
        </m:r>
      </m:oMath>
      <w:r>
        <w:t xml:space="preserve">, the rate achieves 0.14 [ODI/day]. This measure lets us compare different treatments, and determine which are the most effective under the model assumptions. Because the experimental observation is that glasses alone are only able to fully restore vision in 27% of amblyopia cases</w:t>
      </w:r>
      <w:r>
        <w:t xml:space="preserve">(D. Wallace et al. 2006)</w:t>
      </w:r>
      <w:r>
        <w:t xml:space="preserve">, the other simulations use an open-eye noise value of</w:t>
      </w:r>
      <w:r>
        <w:t xml:space="preserve"> </w:t>
      </w:r>
      <m:oMath>
        <m:sSub>
          <m:e>
            <m:r>
              <m:t>σ</m:t>
            </m:r>
          </m:e>
          <m:sub>
            <m:r>
              <m:t>n</m:t>
            </m:r>
          </m:sub>
        </m:sSub>
        <m:r>
          <m:rPr>
            <m:sty m:val="p"/>
          </m:rPr>
          <m:t>=</m:t>
        </m:r>
        <m:r>
          <m:t>0.1</m:t>
        </m:r>
      </m:oMath>
      <w:r>
        <w:t xml:space="preserve">.</w:t>
      </w:r>
    </w:p>
    <w:bookmarkStart w:id="103" w:name="patch-treatment-1"/>
    <w:p>
      <w:pPr>
        <w:pStyle w:val="Heading2"/>
      </w:pPr>
      <w:r>
        <w:t xml:space="preserve">8.1 Patch Treatment</w:t>
      </w:r>
    </w:p>
    <w:p>
      <w:pPr>
        <w:pStyle w:val="FirstParagraph"/>
      </w:pPr>
      <w:r>
        <w:t xml:space="preserve">As shown in</w:t>
      </w:r>
      <w:r>
        <w:t xml:space="preserve"> </w:t>
      </w:r>
      <w:r>
        <w:t xml:space="preserve">(</w:t>
      </w:r>
      <w:r>
        <w:rPr>
          <w:bCs/>
          <w:b/>
        </w:rPr>
        <w:t xml:space="preserve">sec:results?</w:t>
      </w:r>
      <w:r>
        <w:t xml:space="preserve">)</w:t>
      </w:r>
      <w:r>
        <w:t xml:space="preserve">, increased</w:t>
      </w:r>
      <w:r>
        <w:t xml:space="preserve"> </w:t>
      </w:r>
      <w:r>
        <w:rPr>
          <w:iCs/>
          <w:i/>
        </w:rPr>
        <w:t xml:space="preserve">unstructured</w:t>
      </w:r>
      <w:r>
        <w:t xml:space="preserve"> </w:t>
      </w:r>
      <w:r>
        <w:t xml:space="preserve">input into the previously dominant eye increases the rate of recovery. This is a general property of the BCM learning rule and has been explored elsewhere</w:t>
      </w:r>
      <w:r>
        <w:t xml:space="preserve">(B. Blais, Shouval, and Cooper 1999)</w:t>
      </w:r>
      <w:r>
        <w:t xml:space="preserve">.</w:t>
      </w:r>
    </w:p>
    <w:p>
      <w:pPr>
        <w:pStyle w:val="BodyText"/>
      </w:pPr>
      <w:r>
        <w:t xml:space="preserve">Figure</w:t>
      </w:r>
      <w:r>
        <w:t xml:space="preserve"> </w:t>
      </w:r>
      <w:r>
        <w:t xml:space="preserve">(</w:t>
      </w:r>
      <w:r>
        <w:rPr>
          <w:bCs/>
          <w:b/>
        </w:rPr>
        <w:t xml:space="preserve">fig:dODI_patch_vs_noise?</w:t>
      </w:r>
      <w:r>
        <w:t xml:space="preserve">)</w:t>
      </w:r>
      <w:r>
        <w:t xml:space="preserve"> </w:t>
      </w:r>
      <w:r>
        <w:t xml:space="preserve">shows the effect of the patch treatment as a function of the closed-eye noise. For noise levels above</w:t>
      </w:r>
      <w:r>
        <w:t xml:space="preserve"> </w:t>
      </w:r>
      <m:oMath>
        <m:sSub>
          <m:e>
            <m:r>
              <m:t>σ</m:t>
            </m:r>
          </m:e>
          <m:sub>
            <m:r>
              <m:t>n</m:t>
            </m:r>
          </m:sub>
        </m:sSub>
        <m:r>
          <m:rPr>
            <m:sty m:val="p"/>
          </m:rPr>
          <m:t>∼</m:t>
        </m:r>
        <m:r>
          <m:t>0.4</m:t>
        </m:r>
      </m:oMath>
      <w:r>
        <w:t xml:space="preserve"> </w:t>
      </w:r>
      <w:r>
        <w:t xml:space="preserve">the patch treatment is more effective than recovery with glasses alone. There is the danger of the patch treatment and some other treatments (see below) of causing reverse amblyopia, producing a deficit in the previously stronger eye. This will be dependent on the magnitude of the initial deficit and the amount of time for the treatment. Because the BCM learning rule works by the competition between patterns, there is no danger of causing reverse amblyopia with the fix with glasses, but there is that danger in any treatment that has an asymmetry between the strong and weak eye, favoring the weak eye, as most treatments have.</w:t>
      </w:r>
    </w:p>
    <w:p>
      <w:pPr>
        <w:pStyle w:val="BodyText"/>
      </w:pPr>
      <w:r>
        <w:t xml:space="preserve">#todo</w:t>
      </w:r>
      <w:r>
        <w:t xml:space="preserve"> </w:t>
      </w:r>
      <w:r>
        <w:t xml:space="preserve">- [ ] example of reverse amblyopia</w:t>
      </w:r>
    </w:p>
    <w:bookmarkEnd w:id="103"/>
    <w:bookmarkStart w:id="104" w:name="atropine-treatment-1"/>
    <w:p>
      <w:pPr>
        <w:pStyle w:val="Heading2"/>
      </w:pPr>
      <w:r>
        <w:t xml:space="preserve">8.2 Atropine Treatment</w:t>
      </w:r>
    </w:p>
    <w:p>
      <w:pPr>
        <w:pStyle w:val="FirstParagraph"/>
      </w:pPr>
      <w:r>
        <w:t xml:space="preserve">Figure</w:t>
      </w:r>
      <w:r>
        <w:t xml:space="preserve"> </w:t>
      </w:r>
      <w:r>
        <w:t xml:space="preserve">(</w:t>
      </w:r>
      <w:r>
        <w:rPr>
          <w:bCs/>
          <w:b/>
        </w:rPr>
        <w:t xml:space="preserve">fig:dODI_atropine_vs_blur?</w:t>
      </w:r>
      <w:r>
        <w:t xml:space="preserve">)</w:t>
      </w:r>
      <w:r>
        <w:t xml:space="preserve"> </w:t>
      </w:r>
      <w:r>
        <w:t xml:space="preserve">shows the recovery rates under the atropine treatment, where the strong eye is presented with a blurred, noisy version of the natural input. Like the patch treatment, the effect is increased with increasing noise level due to the competition between patterns. When the blur filter is very small, the strong-eye inputs are nearly the same as the weak-eye inputs, yielding a result much like the glasses fix. When the blur filter is larger, the atropine treatment becomes comparable to the patch treatment. The blurred inputs are no better than the patch treatment, which has only the noise input.</w:t>
      </w:r>
    </w:p>
    <w:bookmarkEnd w:id="104"/>
    <w:bookmarkStart w:id="105" w:name="X731f4f3837e6047a9c544434851e5539d4325c2"/>
    <w:p>
      <w:pPr>
        <w:pStyle w:val="Heading2"/>
      </w:pPr>
      <w:r>
        <w:t xml:space="preserve">8.3 Contrast Modification and Dichoptic Masks</w:t>
      </w:r>
    </w:p>
    <w:p>
      <w:pPr>
        <w:pStyle w:val="FirstParagraph"/>
      </w:pPr>
      <w:r>
        <w:t xml:space="preserve">Figure</w:t>
      </w:r>
      <w:r>
        <w:t xml:space="preserve"> </w:t>
      </w:r>
      <w:r>
        <w:t xml:space="preserve">(</w:t>
      </w:r>
      <w:r>
        <w:rPr>
          <w:bCs/>
          <w:b/>
        </w:rPr>
        <w:t xml:space="preserve">fig:dODI_constrast?</w:t>
      </w:r>
      <w:r>
        <w:t xml:space="preserve">)</w:t>
      </w:r>
      <w:r>
        <w:t xml:space="preserve"> </w:t>
      </w:r>
      <w:r>
        <w:t xml:space="preserve">shows the recovery rates under a binocular treatment which only involves contrast modification, where the contrast for the strong-eye is adjusted relative to the weak eye. A contrast level of 1 is normal equal-eye vision. A contrast level of 0 means that the strong-eye input is shut off entirely. We see an increased rate of recovery with a smaller contrast value, or a larger difference between the strong- and weak-eye inputs. The rate does not compare to the rate of the patch treatment, because while there is a larger difference between the strong- and weak-eye inputs for lower contrast value, the rate of change of the strong-eye weights is decreased. The patch and atropine treatments result in more competition between patterns, resulting in faster recovery times.</w:t>
      </w:r>
    </w:p>
    <w:p>
      <w:pPr>
        <w:pStyle w:val="BodyText"/>
      </w:pPr>
      <w:r>
        <w:t xml:space="preserve">#todo</w:t>
      </w:r>
      <w:r>
        <w:t xml:space="preserve"> </w:t>
      </w:r>
      <w:r>
        <w:t xml:space="preserve">- [ ] discuss optimal contrast level</w:t>
      </w:r>
    </w:p>
    <w:p>
      <w:pPr>
        <w:pStyle w:val="BodyText"/>
      </w:pPr>
      <w:r>
        <w:t xml:space="preserve">Figure</w:t>
      </w:r>
      <w:r>
        <w:t xml:space="preserve"> </w:t>
      </w:r>
      <w:r>
        <w:t xml:space="preserve">(</w:t>
      </w:r>
      <w:r>
        <w:rPr>
          <w:bCs/>
          <w:b/>
        </w:rPr>
        <w:t xml:space="preserve">fig:dODI_constrast_mask?</w:t>
      </w:r>
      <w:r>
        <w:t xml:space="preserve">)</w:t>
      </w:r>
      <w:r>
        <w:t xml:space="preserve"> </w:t>
      </w:r>
      <w:r>
        <w:t xml:space="preserve">shows the recovery rates under a binocular treatment which includes both contrast modification and dichoptic masks. The effect of the mask is diminished as the mask filter size increases, which is expected because a larger filter size results in more overlap in the strong- and weak-eye inputs and thus less competition. Interestingly, the mask enhances the effect of contrast on the recovery rates in two ways. For low contrast value (i.e. strong- and weak-eye inputs are more different) the mask increases the recovery rate and can reach rates comparable or exceeding patch treatment. For extremely low contrast values, where nearly all of the input is coming in from the weak eye, there is possibility of causing reverse amblyopia. For high contrast value (i.e. strong- and weak-eye inputs are nearly the same), the masks not only make the recovery slower, but can even enhance the amblyopia.</w:t>
      </w:r>
    </w:p>
    <w:bookmarkEnd w:id="105"/>
    <w:bookmarkEnd w:id="106"/>
    <w:bookmarkStart w:id="107" w:name="section"/>
    <w:p>
      <w:pPr>
        <w:pStyle w:val="Heading1"/>
      </w:pPr>
      <w:r>
        <w:t xml:space="preserve">9. </w:t>
      </w:r>
    </w:p>
    <w:bookmarkEnd w:id="107"/>
    <w:bookmarkStart w:id="134" w:name="references"/>
    <w:p>
      <w:pPr>
        <w:pStyle w:val="Heading1"/>
      </w:pPr>
      <w:r>
        <w:t xml:space="preserve">References</w:t>
      </w:r>
    </w:p>
    <w:bookmarkStart w:id="133" w:name="refs"/>
    <w:bookmarkStart w:id="108" w:name="ref-BCM82"/>
    <w:p>
      <w:pPr>
        <w:pStyle w:val="Bibliography"/>
      </w:pPr>
      <w:r>
        <w:t xml:space="preserve">Bienenstock, E. L., L. N Cooper, and P. W. Munro. 1982.</w:t>
      </w:r>
      <w:r>
        <w:t xml:space="preserve"> </w:t>
      </w:r>
      <w:r>
        <w:t xml:space="preserve">“Theory for the Development of Neuron Selectivity: Orientation Specificity and Binocular Interaction in Visual Cortex.”</w:t>
      </w:r>
      <w:r>
        <w:t xml:space="preserve"> </w:t>
      </w:r>
      <w:r>
        <w:rPr>
          <w:iCs/>
          <w:i/>
        </w:rPr>
        <w:t xml:space="preserve">Journal of Neuroscience</w:t>
      </w:r>
      <w:r>
        <w:t xml:space="preserve"> </w:t>
      </w:r>
      <w:r>
        <w:t xml:space="preserve">2: 32–48.</w:t>
      </w:r>
    </w:p>
    <w:bookmarkEnd w:id="108"/>
    <w:bookmarkStart w:id="109" w:name="ref-birch2013amblyopia"/>
    <w:p>
      <w:pPr>
        <w:pStyle w:val="Bibliography"/>
      </w:pPr>
      <w:r>
        <w:t xml:space="preserve">Birch, Eileen E. 2013.</w:t>
      </w:r>
      <w:r>
        <w:t xml:space="preserve"> </w:t>
      </w:r>
      <w:r>
        <w:t xml:space="preserve">“Amblyopia and Binocular Vision.”</w:t>
      </w:r>
      <w:r>
        <w:t xml:space="preserve"> </w:t>
      </w:r>
      <w:r>
        <w:rPr>
          <w:iCs/>
          <w:i/>
        </w:rPr>
        <w:t xml:space="preserve">Progress in Retinal and Eye Research</w:t>
      </w:r>
      <w:r>
        <w:t xml:space="preserve"> </w:t>
      </w:r>
      <w:r>
        <w:t xml:space="preserve">33: 67–84.</w:t>
      </w:r>
    </w:p>
    <w:bookmarkEnd w:id="109"/>
    <w:bookmarkStart w:id="110" w:name="ref-BlaisEtAl98"/>
    <w:p>
      <w:pPr>
        <w:pStyle w:val="Bibliography"/>
      </w:pPr>
      <w:r>
        <w:t xml:space="preserve">Blais, B. S., N. Intrator, H. Shouval, and L. N Cooper. 1998.</w:t>
      </w:r>
      <w:r>
        <w:t xml:space="preserve"> </w:t>
      </w:r>
      <w:r>
        <w:t xml:space="preserve">“Receptive Field Formation in Natural Scene Environments: Comparison of Single Cell Learning Rules.”</w:t>
      </w:r>
      <w:r>
        <w:t xml:space="preserve"> </w:t>
      </w:r>
      <w:r>
        <w:rPr>
          <w:iCs/>
          <w:i/>
        </w:rPr>
        <w:t xml:space="preserve">Neural Computation</w:t>
      </w:r>
      <w:r>
        <w:t xml:space="preserve"> </w:t>
      </w:r>
      <w:r>
        <w:t xml:space="preserve">10 (7): 1797–1813.</w:t>
      </w:r>
    </w:p>
    <w:bookmarkEnd w:id="110"/>
    <w:bookmarkStart w:id="111" w:name="ref-phd:Blais98"/>
    <w:p>
      <w:pPr>
        <w:pStyle w:val="Bibliography"/>
      </w:pPr>
      <w:r>
        <w:t xml:space="preserve">Blais, Brian S. 1998.</w:t>
      </w:r>
      <w:r>
        <w:t xml:space="preserve"> </w:t>
      </w:r>
      <w:r>
        <w:t xml:space="preserve">“The Role of the Environment in Synaptic Plasticity:</w:t>
      </w:r>
      <w:r>
        <w:br/>
      </w:r>
      <w:r>
        <w:t xml:space="preserve">towards an Understanding of Learning and Memory.”</w:t>
      </w:r>
      <w:r>
        <w:t xml:space="preserve"> </w:t>
      </w:r>
      <w:r>
        <w:t xml:space="preserve">PhD thesis, Brown University, Institute for Brain; Neural Systems; Dr. Leon N Cooper, Thesis Supervisor.</w:t>
      </w:r>
    </w:p>
    <w:bookmarkEnd w:id="111"/>
    <w:bookmarkStart w:id="113" w:name="ref-Blais:2008kx"/>
    <w:p>
      <w:pPr>
        <w:pStyle w:val="Bibliography"/>
      </w:pPr>
      <w:r>
        <w:t xml:space="preserve">Blais, Brian S, Mikhail Y Frenkel, Scott R Kuindersma, Rahmat Muhammad, Harel Z Shouval, Leon N Cooper, and Mark F Bear. 2008.</w:t>
      </w:r>
      <w:r>
        <w:t xml:space="preserve"> </w:t>
      </w:r>
      <w:r>
        <w:t xml:space="preserve">“Recovery from Monocular Deprivation Using Binocular Deprivation.”</w:t>
      </w:r>
      <w:r>
        <w:t xml:space="preserve"> </w:t>
      </w:r>
      <w:r>
        <w:rPr>
          <w:iCs/>
          <w:i/>
        </w:rPr>
        <w:t xml:space="preserve">J Neurophysiol</w:t>
      </w:r>
      <w:r>
        <w:t xml:space="preserve"> </w:t>
      </w:r>
      <w:r>
        <w:t xml:space="preserve">100 (4): 2217–24.</w:t>
      </w:r>
      <w:r>
        <w:t xml:space="preserve"> </w:t>
      </w:r>
      <w:hyperlink r:id="rId112">
        <w:r>
          <w:rPr>
            <w:rStyle w:val="Hyperlink"/>
          </w:rPr>
          <w:t xml:space="preserve">https://doi.org/10.1152/jn.90411.2008</w:t>
        </w:r>
      </w:hyperlink>
      <w:r>
        <w:t xml:space="preserve">.</w:t>
      </w:r>
    </w:p>
    <w:bookmarkEnd w:id="113"/>
    <w:bookmarkStart w:id="114" w:name="ref-BlaisEtAl99"/>
    <w:p>
      <w:pPr>
        <w:pStyle w:val="Bibliography"/>
      </w:pPr>
      <w:r>
        <w:t xml:space="preserve">Blais, Brian, Harel Shouval, and Leon N Cooper. 1999.</w:t>
      </w:r>
      <w:r>
        <w:t xml:space="preserve"> </w:t>
      </w:r>
      <w:r>
        <w:t xml:space="preserve">“The Role of Presynaptic Activity in Monocular Deprivation: Comparison of Homosynaptic and Heterosynaptic Mechanisms.”</w:t>
      </w:r>
      <w:r>
        <w:t xml:space="preserve"> </w:t>
      </w:r>
      <w:r>
        <w:rPr>
          <w:iCs/>
          <w:i/>
        </w:rPr>
        <w:t xml:space="preserve">Proc. Natl. Acad. Sci.</w:t>
      </w:r>
      <w:r>
        <w:t xml:space="preserve"> </w:t>
      </w:r>
      <w:r>
        <w:t xml:space="preserve">96: 1083–87.</w:t>
      </w:r>
    </w:p>
    <w:bookmarkEnd w:id="114"/>
    <w:bookmarkStart w:id="116" w:name="ref-Gao_2018"/>
    <w:p>
      <w:pPr>
        <w:pStyle w:val="Bibliography"/>
      </w:pPr>
      <w:r>
        <w:t xml:space="preserve">Gao, Tina Y., Cindy X. Guo, Raiju J. Babu, Joanna M. Black, William R. Bobier, Arijit Chakraborty, Shuan Dai, et al. 2018.</w:t>
      </w:r>
      <w:r>
        <w:t xml:space="preserve"> </w:t>
      </w:r>
      <w:r>
        <w:t xml:space="preserve">“Effectiveness of a Binocular Video Game Vs Placebo Video Game for Improving Visual Functions in Older Children, Teenagers, and Adults with Amblyopia.”</w:t>
      </w:r>
      <w:r>
        <w:t xml:space="preserve"> </w:t>
      </w:r>
      <w:r>
        <w:rPr>
          <w:iCs/>
          <w:i/>
        </w:rPr>
        <w:t xml:space="preserve">JAMA Ophthalmology</w:t>
      </w:r>
      <w:r>
        <w:t xml:space="preserve"> </w:t>
      </w:r>
      <w:r>
        <w:t xml:space="preserve">136 (2): 172.</w:t>
      </w:r>
      <w:r>
        <w:t xml:space="preserve"> </w:t>
      </w:r>
      <w:hyperlink r:id="rId115">
        <w:r>
          <w:rPr>
            <w:rStyle w:val="Hyperlink"/>
          </w:rPr>
          <w:t xml:space="preserve">https://doi.org/10.1001/jamaophthalmol.2017.6090</w:t>
        </w:r>
      </w:hyperlink>
      <w:r>
        <w:t xml:space="preserve">.</w:t>
      </w:r>
    </w:p>
    <w:bookmarkEnd w:id="116"/>
    <w:bookmarkStart w:id="117" w:name="ref-glaser2002randomized"/>
    <w:p>
      <w:pPr>
        <w:pStyle w:val="Bibliography"/>
      </w:pPr>
      <w:r>
        <w:t xml:space="preserve">Glaser, Stephen R, Andrea M Matazinski, David M Sclar, Nicholas A Sala, Chrissy M Vroman, Cindy E Tanner, David R Stager, et al. 2002.</w:t>
      </w:r>
      <w:r>
        <w:t xml:space="preserve"> </w:t>
      </w:r>
      <w:r>
        <w:t xml:space="preserve">“A Randomized Trial of Atropine Vs Patching for Treatment of Moderate Amblyopia in Children.”</w:t>
      </w:r>
      <w:r>
        <w:t xml:space="preserve"> </w:t>
      </w:r>
      <w:r>
        <w:rPr>
          <w:iCs/>
          <w:i/>
        </w:rPr>
        <w:t xml:space="preserve">Archives of Ophthalmology</w:t>
      </w:r>
      <w:r>
        <w:t xml:space="preserve"> </w:t>
      </w:r>
      <w:r>
        <w:t xml:space="preserve">120 (3): 268–78.</w:t>
      </w:r>
    </w:p>
    <w:bookmarkEnd w:id="117"/>
    <w:bookmarkStart w:id="119" w:name="ref-Holmes_2016"/>
    <w:p>
      <w:pPr>
        <w:pStyle w:val="Bibliography"/>
      </w:pPr>
      <w:r>
        <w:t xml:space="preserve">Holmes, Jonathan M., Vivian M. Manh, Elizabeth L. Lazar, Roy W. Beck, Eileen E. Birch, Raymond T. Kraker, Eric R. Crouch, et al. 2016a.</w:t>
      </w:r>
      <w:r>
        <w:t xml:space="preserve"> </w:t>
      </w:r>
      <w:r>
        <w:t xml:space="preserve">“Effect of a Binocular iPad Game Vs Part-Time Patching in Children Aged 5 to 12 Years with Amblyopia.”</w:t>
      </w:r>
      <w:r>
        <w:t xml:space="preserve"> </w:t>
      </w:r>
      <w:r>
        <w:rPr>
          <w:iCs/>
          <w:i/>
        </w:rPr>
        <w:t xml:space="preserve">JAMA Ophthalmology</w:t>
      </w:r>
      <w:r>
        <w:t xml:space="preserve"> </w:t>
      </w:r>
      <w:r>
        <w:t xml:space="preserve">134 (12): 1391.</w:t>
      </w:r>
      <w:r>
        <w:t xml:space="preserve"> </w:t>
      </w:r>
      <w:hyperlink r:id="rId118">
        <w:r>
          <w:rPr>
            <w:rStyle w:val="Hyperlink"/>
          </w:rPr>
          <w:t xml:space="preserve">https://doi.org/10.1001/jamaophthalmol.2016.4262</w:t>
        </w:r>
      </w:hyperlink>
      <w:r>
        <w:t xml:space="preserve">.</w:t>
      </w:r>
    </w:p>
    <w:bookmarkEnd w:id="119"/>
    <w:bookmarkStart w:id="120" w:name="ref-holmes2016randomized"/>
    <w:p>
      <w:pPr>
        <w:pStyle w:val="Bibliography"/>
      </w:pPr>
      <w:r>
        <w:t xml:space="preserve">Holmes, Jonathan M, Vivian M Manh, Elizabeth L Lazar, Roy W Beck, Eileen E Birch, Raymond T Kraker, Eric R Crouch, et al. 2016b.</w:t>
      </w:r>
      <w:r>
        <w:t xml:space="preserve"> </w:t>
      </w:r>
      <w:r>
        <w:t xml:space="preserve">“A Randomized Trial of a Binocular iPad Game Versus Part-Time Patching in Children 5 to 12 Years of Age with Amblyopia.”</w:t>
      </w:r>
      <w:r>
        <w:t xml:space="preserve"> </w:t>
      </w:r>
      <w:r>
        <w:rPr>
          <w:iCs/>
          <w:i/>
        </w:rPr>
        <w:t xml:space="preserve">JAMA Ophthalmology</w:t>
      </w:r>
      <w:r>
        <w:t xml:space="preserve"> </w:t>
      </w:r>
      <w:r>
        <w:t xml:space="preserve">134 (12): 1391.</w:t>
      </w:r>
    </w:p>
    <w:bookmarkEnd w:id="120"/>
    <w:bookmarkStart w:id="121" w:name="ref-hubel1995eye"/>
    <w:p>
      <w:pPr>
        <w:pStyle w:val="Bibliography"/>
      </w:pPr>
      <w:r>
        <w:t xml:space="preserve">Hubel, David H. 1995.</w:t>
      </w:r>
      <w:r>
        <w:t xml:space="preserve"> </w:t>
      </w:r>
      <w:r>
        <w:rPr>
          <w:iCs/>
          <w:i/>
        </w:rPr>
        <w:t xml:space="preserve">Eye, Brain, and Vision.</w:t>
      </w:r>
      <w:r>
        <w:t xml:space="preserve"> Scientific American Library/Scientific American Books.</w:t>
      </w:r>
    </w:p>
    <w:bookmarkEnd w:id="121"/>
    <w:bookmarkStart w:id="122" w:name="ref-JeonEtAl1998"/>
    <w:p>
      <w:pPr>
        <w:pStyle w:val="Bibliography"/>
      </w:pPr>
      <w:r>
        <w:t xml:space="preserve">Jeon, C J, E Strettoi, and R H Masland. 1998.</w:t>
      </w:r>
      <w:r>
        <w:t xml:space="preserve"> </w:t>
      </w:r>
      <w:r>
        <w:t xml:space="preserve">“</w:t>
      </w:r>
      <w:r>
        <w:t xml:space="preserve">The major cell populations of the mouse retina</w:t>
      </w:r>
      <w:r>
        <w:t xml:space="preserve">.”</w:t>
      </w:r>
      <w:r>
        <w:t xml:space="preserve"> </w:t>
      </w:r>
      <w:r>
        <w:rPr>
          <w:iCs/>
          <w:i/>
        </w:rPr>
        <w:t xml:space="preserve">J Neurosci</w:t>
      </w:r>
      <w:r>
        <w:t xml:space="preserve"> </w:t>
      </w:r>
      <w:r>
        <w:t xml:space="preserve">18 (21): 8936–46.</w:t>
      </w:r>
    </w:p>
    <w:bookmarkEnd w:id="122"/>
    <w:bookmarkStart w:id="124" w:name="ref-Kelly_2016"/>
    <w:p>
      <w:pPr>
        <w:pStyle w:val="Bibliography"/>
      </w:pPr>
      <w:r>
        <w:t xml:space="preserve">Kelly, Krista R., Reed M. Jost, Lori Dao, Cynthia L. Beauchamp, Joel N. Leffler, and Eileen E. Birch. 2016.</w:t>
      </w:r>
      <w:r>
        <w:t xml:space="preserve"> </w:t>
      </w:r>
      <w:r>
        <w:t xml:space="preserve">“Binocular iPad Game Vs Patching for Treatment of Amblyopia in Children.”</w:t>
      </w:r>
      <w:r>
        <w:t xml:space="preserve"> </w:t>
      </w:r>
      <w:r>
        <w:rPr>
          <w:iCs/>
          <w:i/>
        </w:rPr>
        <w:t xml:space="preserve">JAMA Ophthalmology</w:t>
      </w:r>
      <w:r>
        <w:t xml:space="preserve"> </w:t>
      </w:r>
      <w:r>
        <w:t xml:space="preserve">134 (12): 1402.</w:t>
      </w:r>
      <w:r>
        <w:t xml:space="preserve"> </w:t>
      </w:r>
      <w:hyperlink r:id="rId123">
        <w:r>
          <w:rPr>
            <w:rStyle w:val="Hyperlink"/>
          </w:rPr>
          <w:t xml:space="preserve">https://doi.org/10.1001/jamaophthalmol.2016.4224</w:t>
        </w:r>
      </w:hyperlink>
      <w:r>
        <w:t xml:space="preserve">.</w:t>
      </w:r>
    </w:p>
    <w:bookmarkEnd w:id="124"/>
    <w:bookmarkStart w:id="126" w:name="ref-Li:2015aa"/>
    <w:p>
      <w:pPr>
        <w:pStyle w:val="Bibliography"/>
      </w:pPr>
      <w:r>
        <w:t xml:space="preserve">Li, Simone L, Alexandre Reynaud, Robert F Hess, Yi-Zhong Wang, Reed M Jost, Sarah E Morale, Angie De La Cruz, Lori Dao, David Stager Jr, and Eileen E Birch. 2015.</w:t>
      </w:r>
      <w:r>
        <w:t xml:space="preserve"> </w:t>
      </w:r>
      <w:r>
        <w:t xml:space="preserve">“Dichoptic Movie Viewing Treats Childhood Amblyopia.”</w:t>
      </w:r>
      <w:r>
        <w:t xml:space="preserve"> </w:t>
      </w:r>
      <w:r>
        <w:rPr>
          <w:iCs/>
          <w:i/>
        </w:rPr>
        <w:t xml:space="preserve">J AAPOS</w:t>
      </w:r>
      <w:r>
        <w:t xml:space="preserve"> </w:t>
      </w:r>
      <w:r>
        <w:t xml:space="preserve">19 (5): 401–5.</w:t>
      </w:r>
      <w:r>
        <w:t xml:space="preserve"> </w:t>
      </w:r>
      <w:hyperlink r:id="rId125">
        <w:r>
          <w:rPr>
            <w:rStyle w:val="Hyperlink"/>
          </w:rPr>
          <w:t xml:space="preserve">https://doi.org/10.1016/j.jaapos.2015.08.003</w:t>
        </w:r>
      </w:hyperlink>
      <w:r>
        <w:t xml:space="preserve">.</w:t>
      </w:r>
    </w:p>
    <w:bookmarkEnd w:id="126"/>
    <w:bookmarkStart w:id="127" w:name="ref-SterlingEtAl1988"/>
    <w:p>
      <w:pPr>
        <w:pStyle w:val="Bibliography"/>
      </w:pPr>
      <w:r>
        <w:t xml:space="preserve">Sterling, P, M A Freed, and R G Smith. 1988.</w:t>
      </w:r>
      <w:r>
        <w:t xml:space="preserve"> </w:t>
      </w:r>
      <w:r>
        <w:t xml:space="preserve">“</w:t>
      </w:r>
      <w:r>
        <w:t xml:space="preserve">Architecture of rod and cone circuits to the on-beta ganglion cell</w:t>
      </w:r>
      <w:r>
        <w:t xml:space="preserve">.”</w:t>
      </w:r>
      <w:r>
        <w:t xml:space="preserve"> </w:t>
      </w:r>
      <w:r>
        <w:rPr>
          <w:iCs/>
          <w:i/>
        </w:rPr>
        <w:t xml:space="preserve">J Neurosci</w:t>
      </w:r>
      <w:r>
        <w:t xml:space="preserve"> </w:t>
      </w:r>
      <w:r>
        <w:t xml:space="preserve">8 (2): 623–42.</w:t>
      </w:r>
    </w:p>
    <w:bookmarkEnd w:id="127"/>
    <w:bookmarkStart w:id="128" w:name="ref-wallace2018amblyopia"/>
    <w:p>
      <w:pPr>
        <w:pStyle w:val="Bibliography"/>
      </w:pPr>
      <w:r>
        <w:t xml:space="preserve">Wallace, David K, Michael X Repka, Katherine A Lee, Michele Melia, Stephen P Christiansen, Christie L Morse, and Derek T Sprunger. 2018.</w:t>
      </w:r>
      <w:r>
        <w:t xml:space="preserve"> </w:t>
      </w:r>
      <w:r>
        <w:t xml:space="preserve">“Amblyopia Preferred Practice Pattern</w:t>
      </w:r>
      <w:r>
        <w:t xml:space="preserve">.”</w:t>
      </w:r>
      <w:r>
        <w:t xml:space="preserve"> </w:t>
      </w:r>
      <w:r>
        <w:rPr>
          <w:iCs/>
          <w:i/>
        </w:rPr>
        <w:t xml:space="preserve">Ophthalmology</w:t>
      </w:r>
      <w:r>
        <w:t xml:space="preserve"> </w:t>
      </w:r>
      <w:r>
        <w:t xml:space="preserve">125 (1): P105–42.</w:t>
      </w:r>
    </w:p>
    <w:bookmarkEnd w:id="128"/>
    <w:bookmarkStart w:id="129" w:name="ref-wallace2006treatment"/>
    <w:p>
      <w:pPr>
        <w:pStyle w:val="Bibliography"/>
      </w:pPr>
      <w:r>
        <w:t xml:space="preserve">Wallace, DK, SA Cotter, AR Edwards, RW Beck, Pediatric Eye Disease Investigator Group, et al. 2006.</w:t>
      </w:r>
      <w:r>
        <w:t xml:space="preserve"> </w:t>
      </w:r>
      <w:r>
        <w:t xml:space="preserve">“Treatment of Amblyopia with Refractive Correction Alone.”</w:t>
      </w:r>
      <w:r>
        <w:t xml:space="preserve"> </w:t>
      </w:r>
      <w:r>
        <w:rPr>
          <w:iCs/>
          <w:i/>
        </w:rPr>
        <w:t xml:space="preserve">Investigative Ophthalmology &amp; Visual Science</w:t>
      </w:r>
      <w:r>
        <w:t xml:space="preserve"> </w:t>
      </w:r>
      <w:r>
        <w:t xml:space="preserve">47 (13): 4310–10.</w:t>
      </w:r>
    </w:p>
    <w:bookmarkEnd w:id="129"/>
    <w:bookmarkStart w:id="130" w:name="ref-xiao2022randomized"/>
    <w:p>
      <w:pPr>
        <w:pStyle w:val="Bibliography"/>
      </w:pPr>
      <w:r>
        <w:t xml:space="preserve">Xiao, Scott, Endri Angjeli, Hank C Wu, Eric D Gaier, Stephanie Gomez, Dean A Travers, Gil Binenbaum, et al. 2022.</w:t>
      </w:r>
      <w:r>
        <w:t xml:space="preserve"> </w:t>
      </w:r>
      <w:r>
        <w:t xml:space="preserve">“Randomized Controlled Trial of a Dichoptic Digital Therapeutic for Amblyopia.”</w:t>
      </w:r>
      <w:r>
        <w:t xml:space="preserve"> </w:t>
      </w:r>
      <w:r>
        <w:rPr>
          <w:iCs/>
          <w:i/>
        </w:rPr>
        <w:t xml:space="preserve">Ophthalmology</w:t>
      </w:r>
      <w:r>
        <w:t xml:space="preserve"> </w:t>
      </w:r>
      <w:r>
        <w:t xml:space="preserve">129 (1): 77–85.</w:t>
      </w:r>
    </w:p>
    <w:bookmarkEnd w:id="130"/>
    <w:bookmarkStart w:id="131" w:name="ref-xiao2020improved"/>
    <w:p>
      <w:pPr>
        <w:pStyle w:val="Bibliography"/>
      </w:pPr>
      <w:r>
        <w:t xml:space="preserve">Xiao, Scott, Eric D Gaier, Malcolm L Mazow, Ann U Stout, Dean A Travers, Endri Angjeli, Hank C Wu, Gil Binenbaum, and David G Hunter. 2020.</w:t>
      </w:r>
      <w:r>
        <w:t xml:space="preserve"> </w:t>
      </w:r>
      <w:r>
        <w:t xml:space="preserve">“Improved Adherence and Treatment Outcomes with an Engaging, Personalized Digital Therapeutic in Amblyopia.”</w:t>
      </w:r>
      <w:r>
        <w:t xml:space="preserve"> </w:t>
      </w:r>
      <w:r>
        <w:rPr>
          <w:iCs/>
          <w:i/>
        </w:rPr>
        <w:t xml:space="preserve">Scientific Reports</w:t>
      </w:r>
      <w:r>
        <w:t xml:space="preserve"> </w:t>
      </w:r>
      <w:r>
        <w:t xml:space="preserve">10 (1): 1–8.</w:t>
      </w:r>
    </w:p>
    <w:bookmarkEnd w:id="131"/>
    <w:bookmarkStart w:id="132" w:name="ref-de2007current"/>
    <w:p>
      <w:pPr>
        <w:pStyle w:val="Bibliography"/>
      </w:pPr>
      <w:r>
        <w:t xml:space="preserve">Zárate, Blanca Ruiz de, and Jaime Tejedor. 2007.</w:t>
      </w:r>
      <w:r>
        <w:t xml:space="preserve"> </w:t>
      </w:r>
      <w:r>
        <w:t xml:space="preserve">“Current Concepts in the Management of Amblyopia.”</w:t>
      </w:r>
      <w:r>
        <w:t xml:space="preserve"> </w:t>
      </w:r>
      <w:r>
        <w:rPr>
          <w:iCs/>
          <w:i/>
        </w:rPr>
        <w:t xml:space="preserve">Clinical Ophthalmology (Auckland, NZ)</w:t>
      </w:r>
      <w:r>
        <w:t xml:space="preserve"> </w:t>
      </w:r>
      <w:r>
        <w:t xml:space="preserve">1 (4): 403.</w:t>
      </w:r>
    </w:p>
    <w:bookmarkEnd w:id="132"/>
    <w:bookmarkEnd w:id="133"/>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51" Target="media/rId51.pn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41" Target="media/rId41.png" /><Relationship Type="http://schemas.openxmlformats.org/officeDocument/2006/relationships/image" Id="rId98" Target="media/rId98.png" /><Relationship Type="http://schemas.openxmlformats.org/officeDocument/2006/relationships/hyperlink" Id="rId123" Target="https://doi.org/10.1001/jamaophthalmol.2016.4224" TargetMode="External" /><Relationship Type="http://schemas.openxmlformats.org/officeDocument/2006/relationships/hyperlink" Id="rId118" Target="https://doi.org/10.1001/jamaophthalmol.2016.4262" TargetMode="External" /><Relationship Type="http://schemas.openxmlformats.org/officeDocument/2006/relationships/hyperlink" Id="rId115" Target="https://doi.org/10.1001/jamaophthalmol.2017.6090" TargetMode="External" /><Relationship Type="http://schemas.openxmlformats.org/officeDocument/2006/relationships/hyperlink" Id="rId125" Target="https://doi.org/10.1016/j.jaapos.2015.08.003" TargetMode="External" /><Relationship Type="http://schemas.openxmlformats.org/officeDocument/2006/relationships/hyperlink" Id="rId112" Target="https://doi.org/10.1152/jn.90411.2008" TargetMode="External" /><Relationship Type="http://schemas.openxmlformats.org/officeDocument/2006/relationships/hyperlink" Id="rId24" Target="https://github.com/bblais/Amblyopia-Simulation/raw/main/docs/Comparing-Treatments-for-Amblyopia-with-a-Synaptic-Plasticity-Model.docx" TargetMode="External" /><Relationship Type="http://schemas.openxmlformats.org/officeDocument/2006/relationships/hyperlink" Id="rId25" Target="https://github.com/bblais/Amblyopia-Simulation/raw/main/docs/Comparing-Treatments-for-Amblyopia-with-a-Synaptic-Plasticity-Model.pdf" TargetMode="External" /><Relationship Type="http://schemas.openxmlformats.org/officeDocument/2006/relationships/hyperlink" Id="rId22" Target="https://github.com/bblais/Plasticnet/archive/refs/heads/master.zip" TargetMode="External" /><Relationship Type="http://schemas.openxmlformats.org/officeDocument/2006/relationships/hyperlink" Id="rId20" Target="https://quarto.org/docs/books" TargetMode="External" /><Relationship Type="http://schemas.openxmlformats.org/officeDocument/2006/relationships/hyperlink" Id="rId21" Target="https://www.anaconda.com/products/individual#downloads" TargetMode="External" /></Relationships>
</file>

<file path=word/_rels/footnotes.xml.rels><?xml version="1.0" encoding="UTF-8"?><Relationships xmlns="http://schemas.openxmlformats.org/package/2006/relationships"><Relationship Type="http://schemas.openxmlformats.org/officeDocument/2006/relationships/hyperlink" Id="rId123" Target="https://doi.org/10.1001/jamaophthalmol.2016.4224" TargetMode="External" /><Relationship Type="http://schemas.openxmlformats.org/officeDocument/2006/relationships/hyperlink" Id="rId118" Target="https://doi.org/10.1001/jamaophthalmol.2016.4262" TargetMode="External" /><Relationship Type="http://schemas.openxmlformats.org/officeDocument/2006/relationships/hyperlink" Id="rId115" Target="https://doi.org/10.1001/jamaophthalmol.2017.6090" TargetMode="External" /><Relationship Type="http://schemas.openxmlformats.org/officeDocument/2006/relationships/hyperlink" Id="rId125" Target="https://doi.org/10.1016/j.jaapos.2015.08.003" TargetMode="External" /><Relationship Type="http://schemas.openxmlformats.org/officeDocument/2006/relationships/hyperlink" Id="rId112" Target="https://doi.org/10.1152/jn.90411.2008" TargetMode="External" /><Relationship Type="http://schemas.openxmlformats.org/officeDocument/2006/relationships/hyperlink" Id="rId24" Target="https://github.com/bblais/Amblyopia-Simulation/raw/main/docs/Comparing-Treatments-for-Amblyopia-with-a-Synaptic-Plasticity-Model.docx" TargetMode="External" /><Relationship Type="http://schemas.openxmlformats.org/officeDocument/2006/relationships/hyperlink" Id="rId25" Target="https://github.com/bblais/Amblyopia-Simulation/raw/main/docs/Comparing-Treatments-for-Amblyopia-with-a-Synaptic-Plasticity-Model.pdf" TargetMode="External" /><Relationship Type="http://schemas.openxmlformats.org/officeDocument/2006/relationships/hyperlink" Id="rId22" Target="https://github.com/bblais/Plasticnet/archive/refs/heads/master.zip" TargetMode="External" /><Relationship Type="http://schemas.openxmlformats.org/officeDocument/2006/relationships/hyperlink" Id="rId20" Target="https://quarto.org/docs/books" TargetMode="External" /><Relationship Type="http://schemas.openxmlformats.org/officeDocument/2006/relationships/hyperlink" Id="rId21" Target="https://www.anaconda.com/products/individual#downloa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2022-10-20T15:37:15Z</dcterms:created>
  <dcterms:modified xsi:type="dcterms:W3CDTF">2022-10-20T15:37:15Z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10/20/22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vt:lpwstr>
  </property>
  <property fmtid="{D5CDD505-2E9C-101B-9397-08002B2CF9AE}" pid="14" name="toc-title">
    <vt:lpwstr>Table of contents</vt:lpwstr>
  </property>
  <property fmtid="{D5CDD505-2E9C-101B-9397-08002B2CF9AE}" pid="15" name="website">
    <vt:lpwstr/>
  </property>
</Properties>
</file>